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ind w:left="1920"/>
        <w:jc w:val="center"/>
        <w:rPr>
          <w:rFonts w:hAnsi="宋体" w:cs="Times New Roman"/>
          <w:snapToGrid w:val="0"/>
          <w:color w:val="auto"/>
          <w:sz w:val="28"/>
          <w:szCs w:val="60"/>
        </w:rPr>
      </w:pPr>
      <w:bookmarkStart w:id="0" w:name="_Hlk1400472"/>
    </w:p>
    <w:p>
      <w:pPr>
        <w:spacing w:line="360" w:lineRule="auto"/>
        <w:jc w:val="both"/>
        <w:rPr>
          <w:rFonts w:ascii="宋体" w:hAnsi="宋体" w:eastAsia="宋体" w:cs="宋体"/>
          <w:sz w:val="30"/>
          <w:szCs w:val="30"/>
        </w:rPr>
      </w:pPr>
      <w:bookmarkStart w:id="1" w:name="_Hlk19122587"/>
      <w:r>
        <w:rPr>
          <w:rFonts w:hint="eastAsia" w:ascii="宋体" w:hAnsi="宋体" w:eastAsia="宋体" w:cs="宋体"/>
          <w:sz w:val="30"/>
          <w:szCs w:val="30"/>
        </w:rPr>
        <w:t>招标编号：PZH-JS-QT-247</w:t>
      </w:r>
    </w:p>
    <w:p>
      <w:pPr>
        <w:autoSpaceDE/>
        <w:autoSpaceDN/>
        <w:adjustRightInd/>
        <w:ind w:right="-874" w:rightChars="-364"/>
        <w:jc w:val="center"/>
        <w:rPr>
          <w:rFonts w:ascii="宋体" w:hAnsi="宋体" w:eastAsia="宋体" w:cs="宋体"/>
          <w:kern w:val="2"/>
          <w:sz w:val="52"/>
          <w:szCs w:val="52"/>
        </w:rPr>
      </w:pPr>
    </w:p>
    <w:p>
      <w:pPr>
        <w:autoSpaceDE/>
        <w:autoSpaceDN/>
        <w:adjustRightInd/>
        <w:ind w:right="-874" w:rightChars="-364"/>
        <w:jc w:val="center"/>
        <w:rPr>
          <w:rFonts w:ascii="宋体" w:hAnsi="宋体" w:eastAsia="宋体" w:cs="宋体"/>
          <w:kern w:val="2"/>
          <w:sz w:val="52"/>
          <w:szCs w:val="52"/>
        </w:rPr>
      </w:pPr>
    </w:p>
    <w:p>
      <w:pPr>
        <w:pStyle w:val="32"/>
      </w:pPr>
    </w:p>
    <w:p>
      <w:pPr>
        <w:autoSpaceDE/>
        <w:autoSpaceDN/>
        <w:adjustRightInd/>
        <w:ind w:right="-874" w:rightChars="-364"/>
        <w:jc w:val="center"/>
        <w:rPr>
          <w:rFonts w:ascii="宋体" w:hAnsi="宋体" w:eastAsia="宋体" w:cs="宋体"/>
          <w:kern w:val="2"/>
          <w:sz w:val="52"/>
          <w:szCs w:val="52"/>
        </w:rPr>
      </w:pPr>
      <w:r>
        <w:rPr>
          <w:rFonts w:hint="eastAsia" w:ascii="宋体" w:hAnsi="宋体" w:eastAsia="宋体" w:cs="宋体"/>
          <w:kern w:val="2"/>
          <w:sz w:val="52"/>
          <w:szCs w:val="52"/>
        </w:rPr>
        <w:t>金沙江金沙水电站竣工环境保护验收</w:t>
      </w:r>
    </w:p>
    <w:p>
      <w:pPr>
        <w:autoSpaceDE/>
        <w:autoSpaceDN/>
        <w:adjustRightInd/>
        <w:ind w:right="-874" w:rightChars="-364"/>
        <w:jc w:val="center"/>
        <w:rPr>
          <w:rFonts w:ascii="宋体" w:hAnsi="宋体" w:eastAsia="宋体" w:cs="宋体"/>
          <w:kern w:val="2"/>
          <w:sz w:val="52"/>
          <w:szCs w:val="52"/>
        </w:rPr>
      </w:pPr>
      <w:r>
        <w:rPr>
          <w:rFonts w:hint="eastAsia" w:ascii="宋体" w:hAnsi="宋体" w:eastAsia="宋体" w:cs="宋体"/>
          <w:kern w:val="2"/>
          <w:sz w:val="52"/>
          <w:szCs w:val="52"/>
        </w:rPr>
        <w:t>及陆生生态调查技术服务</w:t>
      </w:r>
    </w:p>
    <w:p>
      <w:pPr>
        <w:pStyle w:val="25"/>
        <w:adjustRightInd w:val="0"/>
        <w:snapToGrid w:val="0"/>
        <w:spacing w:line="360" w:lineRule="auto"/>
        <w:ind w:firstLine="202" w:firstLineChars="28"/>
        <w:jc w:val="center"/>
        <w:rPr>
          <w:rFonts w:hAnsi="宋体" w:cs="宋体"/>
          <w:b/>
          <w:bCs/>
          <w:color w:val="000000"/>
          <w:sz w:val="72"/>
          <w:szCs w:val="72"/>
        </w:rPr>
      </w:pPr>
    </w:p>
    <w:p>
      <w:pPr>
        <w:pStyle w:val="25"/>
        <w:adjustRightInd w:val="0"/>
        <w:snapToGrid w:val="0"/>
        <w:spacing w:line="360" w:lineRule="auto"/>
        <w:ind w:firstLine="202" w:firstLineChars="28"/>
        <w:jc w:val="center"/>
        <w:rPr>
          <w:rFonts w:hAnsi="宋体" w:cs="宋体"/>
          <w:b/>
          <w:bCs/>
          <w:color w:val="000000"/>
          <w:sz w:val="72"/>
          <w:szCs w:val="72"/>
        </w:rPr>
      </w:pPr>
      <w:r>
        <w:rPr>
          <w:rFonts w:hint="eastAsia" w:hAnsi="宋体" w:cs="宋体"/>
          <w:b/>
          <w:bCs/>
          <w:color w:val="000000"/>
          <w:sz w:val="72"/>
          <w:szCs w:val="72"/>
        </w:rPr>
        <w:t>招标文件</w:t>
      </w: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bookmarkStart w:id="193" w:name="_GoBack"/>
      <w:bookmarkEnd w:id="193"/>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pStyle w:val="32"/>
        <w:rPr>
          <w:rFonts w:eastAsia="微软雅黑"/>
          <w:sz w:val="28"/>
          <w:szCs w:val="28"/>
        </w:rPr>
      </w:pPr>
    </w:p>
    <w:p>
      <w:pPr>
        <w:rPr>
          <w:rFonts w:eastAsia="微软雅黑"/>
          <w:sz w:val="28"/>
          <w:szCs w:val="28"/>
        </w:rPr>
      </w:pPr>
    </w:p>
    <w:p>
      <w:pPr>
        <w:pStyle w:val="32"/>
        <w:rPr>
          <w:rFonts w:eastAsia="微软雅黑"/>
          <w:sz w:val="28"/>
          <w:szCs w:val="28"/>
        </w:rPr>
      </w:pPr>
    </w:p>
    <w:p/>
    <w:p>
      <w:pPr>
        <w:jc w:val="center"/>
        <w:rPr>
          <w:rFonts w:eastAsia="微软雅黑"/>
          <w:sz w:val="28"/>
          <w:szCs w:val="28"/>
        </w:rPr>
      </w:pPr>
    </w:p>
    <w:p>
      <w:pPr>
        <w:jc w:val="center"/>
        <w:rPr>
          <w:rFonts w:eastAsia="微软雅黑"/>
          <w:sz w:val="28"/>
          <w:szCs w:val="28"/>
        </w:rPr>
      </w:pPr>
    </w:p>
    <w:bookmarkEnd w:id="1"/>
    <w:p>
      <w:pPr>
        <w:pStyle w:val="25"/>
        <w:spacing w:line="360" w:lineRule="auto"/>
        <w:ind w:firstLine="1285" w:firstLineChars="400"/>
        <w:rPr>
          <w:rFonts w:hAnsi="宋体" w:cs="宋体"/>
          <w:b/>
          <w:color w:val="000000"/>
          <w:sz w:val="32"/>
          <w:szCs w:val="32"/>
        </w:rPr>
      </w:pPr>
      <w:r>
        <w:rPr>
          <w:rFonts w:hint="eastAsia" w:hAnsi="宋体" w:cs="宋体"/>
          <w:b/>
          <w:color w:val="000000"/>
          <w:sz w:val="32"/>
          <w:szCs w:val="32"/>
        </w:rPr>
        <w:t>招标人：四川省能投攀枝花水电开发有限公司</w:t>
      </w:r>
    </w:p>
    <w:p>
      <w:pPr>
        <w:pStyle w:val="25"/>
        <w:spacing w:line="360" w:lineRule="auto"/>
        <w:ind w:firstLine="1285" w:firstLineChars="400"/>
        <w:rPr>
          <w:rFonts w:hAnsi="宋体" w:cs="宋体"/>
          <w:b/>
          <w:color w:val="000000"/>
          <w:sz w:val="32"/>
          <w:szCs w:val="32"/>
        </w:rPr>
      </w:pPr>
      <w:r>
        <w:rPr>
          <w:rFonts w:hint="eastAsia" w:hAnsi="宋体" w:cs="宋体"/>
          <w:b/>
          <w:color w:val="000000"/>
          <w:sz w:val="32"/>
          <w:szCs w:val="32"/>
        </w:rPr>
        <w:t>日  期：2022年</w:t>
      </w:r>
      <w:r>
        <w:rPr>
          <w:rFonts w:hint="eastAsia" w:hAnsi="宋体" w:cs="宋体"/>
          <w:b/>
          <w:color w:val="000000"/>
          <w:sz w:val="32"/>
          <w:szCs w:val="32"/>
          <w:lang w:val="en-US" w:eastAsia="zh-CN"/>
        </w:rPr>
        <w:t>2</w:t>
      </w:r>
      <w:r>
        <w:rPr>
          <w:rFonts w:hint="eastAsia" w:hAnsi="宋体" w:cs="宋体"/>
          <w:b/>
          <w:color w:val="000000"/>
          <w:sz w:val="32"/>
          <w:szCs w:val="32"/>
        </w:rPr>
        <w:t>月</w:t>
      </w:r>
    </w:p>
    <w:p>
      <w:pPr>
        <w:pStyle w:val="3"/>
        <w:spacing w:before="120" w:after="120"/>
        <w:rPr>
          <w:rFonts w:ascii="time" w:hAnsi="time"/>
          <w:color w:val="000000"/>
          <w:sz w:val="32"/>
          <w:szCs w:val="32"/>
        </w:rPr>
        <w:sectPr>
          <w:pgSz w:w="11906" w:h="16838"/>
          <w:pgMar w:top="1134" w:right="1134" w:bottom="1134" w:left="1247" w:header="850" w:footer="992" w:gutter="0"/>
          <w:pgNumType w:start="1"/>
          <w:cols w:space="720" w:num="1"/>
          <w:docGrid w:linePitch="312" w:charSpace="0"/>
        </w:sectPr>
      </w:pPr>
    </w:p>
    <w:p>
      <w:pPr>
        <w:tabs>
          <w:tab w:val="left" w:pos="561"/>
        </w:tabs>
        <w:topLinePunct/>
        <w:autoSpaceDE/>
        <w:autoSpaceDN/>
        <w:snapToGrid w:val="0"/>
        <w:spacing w:line="360" w:lineRule="auto"/>
        <w:jc w:val="center"/>
        <w:textAlignment w:val="center"/>
        <w:rPr>
          <w:rFonts w:ascii="宋体" w:hAnsi="宋体" w:eastAsia="宋体" w:cs="Adobe ｺﾚﾌ・Std R"/>
          <w:sz w:val="44"/>
          <w:szCs w:val="28"/>
        </w:rPr>
      </w:pPr>
      <w:r>
        <w:rPr>
          <w:rFonts w:hint="eastAsia" w:ascii="宋体" w:hAnsi="宋体" w:eastAsia="宋体" w:cs="Adobe ｺﾚﾌ・Std R"/>
          <w:sz w:val="44"/>
          <w:szCs w:val="28"/>
        </w:rPr>
        <w:t xml:space="preserve">目  </w:t>
      </w:r>
      <w:r>
        <w:rPr>
          <w:rFonts w:hint="eastAsia" w:ascii="宋体" w:hAnsi="宋体" w:eastAsia="宋体" w:cs="微软雅黑"/>
          <w:sz w:val="44"/>
          <w:szCs w:val="28"/>
        </w:rPr>
        <w:t>录</w:t>
      </w:r>
    </w:p>
    <w:p>
      <w:pPr>
        <w:pStyle w:val="32"/>
        <w:tabs>
          <w:tab w:val="right" w:leader="dot" w:pos="9027"/>
          <w:tab w:val="clear" w:pos="8811"/>
        </w:tabs>
      </w:pPr>
      <w:r>
        <w:rPr>
          <w:rFonts w:ascii="Times New Roman" w:hAnsi="Times New Roman"/>
        </w:rPr>
        <w:fldChar w:fldCharType="begin"/>
      </w:r>
      <w:r>
        <w:rPr>
          <w:rFonts w:ascii="Times New Roman" w:hAnsi="Times New Roman"/>
        </w:rPr>
        <w:instrText xml:space="preserve"> TOC \o "1-2" \h \z </w:instrText>
      </w:r>
      <w:r>
        <w:rPr>
          <w:rFonts w:ascii="Times New Roman" w:hAnsi="Times New Roman"/>
        </w:rPr>
        <w:fldChar w:fldCharType="separate"/>
      </w:r>
      <w:r>
        <w:fldChar w:fldCharType="begin"/>
      </w:r>
      <w:r>
        <w:instrText xml:space="preserve"> HYPERLINK \l "_Toc17342" </w:instrText>
      </w:r>
      <w:r>
        <w:fldChar w:fldCharType="separate"/>
      </w:r>
      <w:r>
        <w:rPr>
          <w:rFonts w:hint="eastAsia" w:ascii="宋体" w:hAnsi="宋体"/>
        </w:rPr>
        <w:t>第一章  招标公告</w:t>
      </w:r>
      <w:r>
        <w:tab/>
      </w:r>
      <w:r>
        <w:fldChar w:fldCharType="begin"/>
      </w:r>
      <w:r>
        <w:instrText xml:space="preserve"> PAGEREF _Toc17342 \h </w:instrText>
      </w:r>
      <w:r>
        <w:fldChar w:fldCharType="separate"/>
      </w:r>
      <w:r>
        <w:t>1</w:t>
      </w:r>
      <w:r>
        <w:fldChar w:fldCharType="end"/>
      </w:r>
      <w:r>
        <w:fldChar w:fldCharType="end"/>
      </w:r>
    </w:p>
    <w:p>
      <w:pPr>
        <w:pStyle w:val="32"/>
        <w:tabs>
          <w:tab w:val="right" w:leader="dot" w:pos="9027"/>
          <w:tab w:val="clear" w:pos="8811"/>
        </w:tabs>
      </w:pPr>
      <w:r>
        <w:fldChar w:fldCharType="begin"/>
      </w:r>
      <w:r>
        <w:instrText xml:space="preserve"> HYPERLINK \l "_Toc29923" </w:instrText>
      </w:r>
      <w:r>
        <w:fldChar w:fldCharType="separate"/>
      </w:r>
      <w:r>
        <w:rPr>
          <w:rFonts w:hint="eastAsia" w:ascii="宋体" w:hAnsi="宋体"/>
        </w:rPr>
        <w:t>第二章  投标人须知</w:t>
      </w:r>
      <w:r>
        <w:tab/>
      </w:r>
      <w:r>
        <w:fldChar w:fldCharType="begin"/>
      </w:r>
      <w:r>
        <w:instrText xml:space="preserve"> PAGEREF _Toc29923 \h </w:instrText>
      </w:r>
      <w:r>
        <w:fldChar w:fldCharType="separate"/>
      </w:r>
      <w:r>
        <w:t>3</w:t>
      </w:r>
      <w:r>
        <w:fldChar w:fldCharType="end"/>
      </w:r>
      <w:r>
        <w:fldChar w:fldCharType="end"/>
      </w:r>
    </w:p>
    <w:p>
      <w:pPr>
        <w:pStyle w:val="32"/>
        <w:tabs>
          <w:tab w:val="right" w:leader="dot" w:pos="9027"/>
          <w:tab w:val="clear" w:pos="8811"/>
        </w:tabs>
      </w:pPr>
      <w:r>
        <w:fldChar w:fldCharType="begin"/>
      </w:r>
      <w:r>
        <w:instrText xml:space="preserve"> HYPERLINK \l "_Toc19253" </w:instrText>
      </w:r>
      <w:r>
        <w:fldChar w:fldCharType="separate"/>
      </w:r>
      <w:r>
        <w:rPr>
          <w:rFonts w:hint="eastAsia" w:ascii="宋体" w:hAnsi="宋体"/>
        </w:rPr>
        <w:t>第三章  评标办法</w:t>
      </w:r>
      <w:r>
        <w:tab/>
      </w:r>
      <w:r>
        <w:fldChar w:fldCharType="begin"/>
      </w:r>
      <w:r>
        <w:instrText xml:space="preserve"> PAGEREF _Toc19253 \h </w:instrText>
      </w:r>
      <w:r>
        <w:fldChar w:fldCharType="separate"/>
      </w:r>
      <w:r>
        <w:t>11</w:t>
      </w:r>
      <w:r>
        <w:fldChar w:fldCharType="end"/>
      </w:r>
      <w:r>
        <w:fldChar w:fldCharType="end"/>
      </w:r>
    </w:p>
    <w:p>
      <w:pPr>
        <w:pStyle w:val="32"/>
        <w:tabs>
          <w:tab w:val="right" w:leader="dot" w:pos="9027"/>
          <w:tab w:val="clear" w:pos="8811"/>
        </w:tabs>
      </w:pPr>
      <w:r>
        <w:fldChar w:fldCharType="begin"/>
      </w:r>
      <w:r>
        <w:instrText xml:space="preserve"> HYPERLINK \l "_Toc5666" </w:instrText>
      </w:r>
      <w:r>
        <w:fldChar w:fldCharType="separate"/>
      </w:r>
      <w:r>
        <w:rPr>
          <w:rFonts w:hint="eastAsia" w:ascii="宋体" w:hAnsi="宋体"/>
        </w:rPr>
        <w:t>第四章  合同条款及格式</w:t>
      </w:r>
      <w:r>
        <w:tab/>
      </w:r>
      <w:r>
        <w:fldChar w:fldCharType="begin"/>
      </w:r>
      <w:r>
        <w:instrText xml:space="preserve"> PAGEREF _Toc5666 \h </w:instrText>
      </w:r>
      <w:r>
        <w:fldChar w:fldCharType="separate"/>
      </w:r>
      <w:r>
        <w:t>16</w:t>
      </w:r>
      <w:r>
        <w:fldChar w:fldCharType="end"/>
      </w:r>
      <w:r>
        <w:fldChar w:fldCharType="end"/>
      </w:r>
    </w:p>
    <w:p>
      <w:pPr>
        <w:pStyle w:val="32"/>
        <w:tabs>
          <w:tab w:val="right" w:leader="dot" w:pos="9027"/>
          <w:tab w:val="clear" w:pos="8811"/>
        </w:tabs>
      </w:pPr>
      <w:r>
        <w:fldChar w:fldCharType="begin"/>
      </w:r>
      <w:r>
        <w:instrText xml:space="preserve"> HYPERLINK \l "_Toc6902" </w:instrText>
      </w:r>
      <w:r>
        <w:fldChar w:fldCharType="separate"/>
      </w:r>
      <w:r>
        <w:rPr>
          <w:rFonts w:hint="eastAsia" w:ascii="宋体" w:hAnsi="宋体"/>
        </w:rPr>
        <w:t>第五章  招标人要求</w:t>
      </w:r>
      <w:r>
        <w:tab/>
      </w:r>
      <w:r>
        <w:fldChar w:fldCharType="begin"/>
      </w:r>
      <w:r>
        <w:instrText xml:space="preserve"> PAGEREF _Toc6902 \h </w:instrText>
      </w:r>
      <w:r>
        <w:fldChar w:fldCharType="separate"/>
      </w:r>
      <w:r>
        <w:t>30</w:t>
      </w:r>
      <w:r>
        <w:fldChar w:fldCharType="end"/>
      </w:r>
      <w:r>
        <w:fldChar w:fldCharType="end"/>
      </w:r>
    </w:p>
    <w:p>
      <w:pPr>
        <w:pStyle w:val="32"/>
        <w:tabs>
          <w:tab w:val="right" w:leader="dot" w:pos="9027"/>
          <w:tab w:val="clear" w:pos="8811"/>
        </w:tabs>
      </w:pPr>
      <w:r>
        <w:fldChar w:fldCharType="begin"/>
      </w:r>
      <w:r>
        <w:instrText xml:space="preserve"> HYPERLINK \l "_Toc18324" </w:instrText>
      </w:r>
      <w:r>
        <w:fldChar w:fldCharType="separate"/>
      </w:r>
      <w:r>
        <w:rPr>
          <w:rFonts w:hint="eastAsia" w:ascii="宋体" w:hAnsi="宋体"/>
        </w:rPr>
        <w:t>第六章  投标文件格式</w:t>
      </w:r>
      <w:r>
        <w:tab/>
      </w:r>
      <w:r>
        <w:fldChar w:fldCharType="begin"/>
      </w:r>
      <w:r>
        <w:instrText xml:space="preserve"> PAGEREF _Toc18324 \h </w:instrText>
      </w:r>
      <w:r>
        <w:fldChar w:fldCharType="separate"/>
      </w:r>
      <w:r>
        <w:t>35</w:t>
      </w:r>
      <w:r>
        <w:fldChar w:fldCharType="end"/>
      </w:r>
      <w:r>
        <w:fldChar w:fldCharType="end"/>
      </w:r>
    </w:p>
    <w:p>
      <w:pPr>
        <w:pStyle w:val="39"/>
        <w:rPr>
          <w:rFonts w:ascii="宋体" w:hAnsi="宋体" w:cs="Calibri"/>
        </w:rPr>
      </w:pPr>
      <w:r>
        <w:rPr>
          <w:rFonts w:ascii="Times New Roman" w:hAnsi="Times New Roman"/>
        </w:rPr>
        <w:fldChar w:fldCharType="end"/>
      </w:r>
    </w:p>
    <w:p>
      <w:pPr>
        <w:topLinePunct/>
        <w:autoSpaceDE/>
        <w:autoSpaceDN/>
        <w:snapToGrid w:val="0"/>
        <w:spacing w:line="200" w:lineRule="exact"/>
        <w:jc w:val="both"/>
        <w:textAlignment w:val="center"/>
        <w:rPr>
          <w:rFonts w:ascii="宋体" w:hAnsi="宋体" w:eastAsia="宋体"/>
          <w:sz w:val="20"/>
          <w:szCs w:val="20"/>
        </w:rPr>
        <w:sectPr>
          <w:headerReference r:id="rId3" w:type="default"/>
          <w:footerReference r:id="rId4" w:type="default"/>
          <w:pgSz w:w="11907" w:h="16840"/>
          <w:pgMar w:top="1440" w:right="1440" w:bottom="1440" w:left="1440" w:header="851" w:footer="992" w:gutter="0"/>
          <w:pgNumType w:fmt="upperRoman"/>
          <w:cols w:space="720" w:num="1"/>
          <w:docGrid w:linePitch="326" w:charSpace="0"/>
        </w:sectPr>
      </w:pPr>
    </w:p>
    <w:p>
      <w:pPr>
        <w:pStyle w:val="3"/>
        <w:topLinePunct/>
        <w:autoSpaceDE/>
        <w:autoSpaceDN/>
        <w:textAlignment w:val="center"/>
        <w:rPr>
          <w:rFonts w:ascii="宋体" w:hAnsi="宋体" w:eastAsia="宋体"/>
        </w:rPr>
      </w:pPr>
      <w:bookmarkStart w:id="2" w:name="_Toc17342"/>
      <w:r>
        <w:rPr>
          <w:rFonts w:hint="eastAsia" w:ascii="宋体" w:hAnsi="宋体" w:eastAsia="宋体"/>
        </w:rPr>
        <w:t>第一章 招标公告</w:t>
      </w:r>
      <w:bookmarkEnd w:id="2"/>
    </w:p>
    <w:p>
      <w:pPr>
        <w:adjustRightInd/>
        <w:spacing w:line="360" w:lineRule="auto"/>
        <w:contextualSpacing/>
        <w:rPr>
          <w:rFonts w:eastAsia="宋体"/>
          <w:snapToGrid w:val="0"/>
        </w:rPr>
      </w:pPr>
      <w:bookmarkStart w:id="3" w:name="_Toc208326720"/>
      <w:r>
        <w:rPr>
          <w:rFonts w:eastAsia="宋体"/>
          <w:snapToGrid w:val="0"/>
        </w:rPr>
        <w:t>项目名称：</w:t>
      </w:r>
      <w:bookmarkEnd w:id="3"/>
      <w:r>
        <w:rPr>
          <w:rFonts w:hint="eastAsia" w:eastAsia="宋体"/>
          <w:snapToGrid w:val="0"/>
        </w:rPr>
        <w:t>金沙江金沙水电站竣工环境保护验收及陆生生态调查技术服务</w:t>
      </w:r>
    </w:p>
    <w:p>
      <w:pPr>
        <w:kinsoku w:val="0"/>
        <w:overflowPunct w:val="0"/>
        <w:snapToGrid w:val="0"/>
        <w:spacing w:line="360" w:lineRule="auto"/>
        <w:rPr>
          <w:rFonts w:eastAsia="宋体"/>
          <w:snapToGrid w:val="0"/>
        </w:rPr>
      </w:pPr>
      <w:r>
        <w:rPr>
          <w:rFonts w:eastAsia="宋体"/>
          <w:snapToGrid w:val="0"/>
        </w:rPr>
        <w:t>项目所在地区：四川省</w:t>
      </w:r>
      <w:r>
        <w:rPr>
          <w:rFonts w:hint="eastAsia" w:eastAsia="宋体"/>
          <w:snapToGrid w:val="0"/>
        </w:rPr>
        <w:t>攀枝花市</w:t>
      </w:r>
    </w:p>
    <w:p>
      <w:pPr>
        <w:adjustRightInd/>
        <w:spacing w:line="360" w:lineRule="auto"/>
        <w:ind w:firstLine="482" w:firstLineChars="200"/>
        <w:contextualSpacing/>
        <w:rPr>
          <w:rFonts w:eastAsia="宋体"/>
          <w:b/>
          <w:bCs/>
          <w:snapToGrid w:val="0"/>
        </w:rPr>
      </w:pPr>
      <w:r>
        <w:rPr>
          <w:rFonts w:eastAsia="宋体"/>
          <w:b/>
          <w:bCs/>
          <w:snapToGrid w:val="0"/>
        </w:rPr>
        <w:t>1</w:t>
      </w:r>
      <w:r>
        <w:rPr>
          <w:rFonts w:hint="eastAsia" w:eastAsia="宋体"/>
          <w:b/>
          <w:bCs/>
          <w:snapToGrid w:val="0"/>
        </w:rPr>
        <w:t>.</w:t>
      </w:r>
      <w:r>
        <w:rPr>
          <w:rFonts w:eastAsia="宋体"/>
          <w:b/>
          <w:bCs/>
          <w:snapToGrid w:val="0"/>
        </w:rPr>
        <w:t>项目概况</w:t>
      </w:r>
    </w:p>
    <w:p>
      <w:pPr>
        <w:spacing w:line="360" w:lineRule="auto"/>
        <w:ind w:firstLine="480" w:firstLineChars="200"/>
        <w:jc w:val="both"/>
        <w:rPr>
          <w:rFonts w:eastAsia="宋体"/>
          <w:szCs w:val="20"/>
        </w:rPr>
      </w:pPr>
      <w:r>
        <w:rPr>
          <w:rFonts w:eastAsia="宋体"/>
          <w:szCs w:val="20"/>
        </w:rPr>
        <w:t>金沙水电站位于金沙江干流中游末端的攀枝花河段上，是金沙江攀枝花河段水电规划的梯级水电站之一。电站坝址位于攀枝花市中心城区，上距在建的观音岩水电站坝址28.9km，下距规划的银江水电站坝址约21km。坝址左岸为攀枝花市西区，城市路（苏铁东路）可直达坝区，右岸为攀枝花市仁和区，库尾涉及云南省丽江市华坪县。</w:t>
      </w:r>
    </w:p>
    <w:p>
      <w:pPr>
        <w:spacing w:line="360" w:lineRule="auto"/>
        <w:ind w:firstLine="480" w:firstLineChars="200"/>
        <w:jc w:val="both"/>
        <w:rPr>
          <w:rFonts w:eastAsia="宋体"/>
          <w:szCs w:val="20"/>
        </w:rPr>
      </w:pPr>
      <w:r>
        <w:rPr>
          <w:rFonts w:hint="eastAsia" w:eastAsia="宋体"/>
          <w:szCs w:val="20"/>
        </w:rPr>
        <w:t>电站正常蓄水位</w:t>
      </w:r>
      <w:r>
        <w:rPr>
          <w:rFonts w:eastAsia="宋体"/>
          <w:szCs w:val="20"/>
        </w:rPr>
        <w:t>1022.0m</w:t>
      </w:r>
      <w:r>
        <w:rPr>
          <w:rFonts w:hint="eastAsia" w:eastAsia="宋体"/>
          <w:szCs w:val="20"/>
        </w:rPr>
        <w:t>，死水位</w:t>
      </w:r>
      <w:r>
        <w:rPr>
          <w:rFonts w:eastAsia="宋体"/>
          <w:szCs w:val="20"/>
        </w:rPr>
        <w:t>1020.0m</w:t>
      </w:r>
      <w:r>
        <w:rPr>
          <w:rFonts w:hint="eastAsia" w:eastAsia="宋体"/>
          <w:szCs w:val="20"/>
        </w:rPr>
        <w:t>，水库总库容为</w:t>
      </w:r>
      <w:r>
        <w:rPr>
          <w:rFonts w:eastAsia="宋体"/>
          <w:szCs w:val="20"/>
        </w:rPr>
        <w:t>1.08</w:t>
      </w:r>
      <w:r>
        <w:rPr>
          <w:rFonts w:hint="eastAsia" w:eastAsia="宋体"/>
          <w:szCs w:val="20"/>
        </w:rPr>
        <w:t>亿</w:t>
      </w:r>
      <w:r>
        <w:rPr>
          <w:rFonts w:eastAsia="宋体"/>
          <w:szCs w:val="20"/>
        </w:rPr>
        <w:t>m</w:t>
      </w:r>
      <w:r>
        <w:rPr>
          <w:rFonts w:hint="eastAsia" w:eastAsia="宋体"/>
          <w:szCs w:val="20"/>
        </w:rPr>
        <w:t>³，正常蓄水位库容</w:t>
      </w:r>
      <w:r>
        <w:rPr>
          <w:rFonts w:eastAsia="宋体"/>
          <w:szCs w:val="20"/>
        </w:rPr>
        <w:t>0.85</w:t>
      </w:r>
      <w:r>
        <w:rPr>
          <w:rFonts w:hint="eastAsia" w:eastAsia="宋体"/>
          <w:szCs w:val="20"/>
        </w:rPr>
        <w:t>亿</w:t>
      </w:r>
      <w:r>
        <w:rPr>
          <w:rFonts w:eastAsia="宋体"/>
          <w:szCs w:val="20"/>
        </w:rPr>
        <w:t>m</w:t>
      </w:r>
      <w:r>
        <w:rPr>
          <w:rFonts w:hint="eastAsia" w:eastAsia="宋体"/>
          <w:szCs w:val="20"/>
        </w:rPr>
        <w:t>³，其中调节库容</w:t>
      </w:r>
      <w:r>
        <w:rPr>
          <w:rFonts w:eastAsia="宋体"/>
          <w:szCs w:val="20"/>
        </w:rPr>
        <w:t>0.112</w:t>
      </w:r>
      <w:r>
        <w:rPr>
          <w:rFonts w:hint="eastAsia" w:eastAsia="宋体"/>
          <w:szCs w:val="20"/>
        </w:rPr>
        <w:t>亿</w:t>
      </w:r>
      <w:r>
        <w:rPr>
          <w:rFonts w:eastAsia="宋体"/>
          <w:szCs w:val="20"/>
        </w:rPr>
        <w:t>m</w:t>
      </w:r>
      <w:r>
        <w:rPr>
          <w:rFonts w:hint="eastAsia" w:eastAsia="宋体"/>
          <w:szCs w:val="20"/>
        </w:rPr>
        <w:t>³，具有日调节性能；电站装机容量</w:t>
      </w:r>
      <w:r>
        <w:rPr>
          <w:rFonts w:eastAsia="宋体"/>
          <w:szCs w:val="20"/>
        </w:rPr>
        <w:t>560MW</w:t>
      </w:r>
      <w:r>
        <w:rPr>
          <w:rFonts w:hint="eastAsia" w:eastAsia="宋体"/>
          <w:szCs w:val="20"/>
        </w:rPr>
        <w:t>，多年平均发电量为</w:t>
      </w:r>
      <w:r>
        <w:rPr>
          <w:rFonts w:eastAsia="宋体"/>
          <w:szCs w:val="20"/>
        </w:rPr>
        <w:t>2</w:t>
      </w:r>
      <w:r>
        <w:rPr>
          <w:rFonts w:hint="eastAsia" w:eastAsia="宋体"/>
          <w:szCs w:val="20"/>
        </w:rPr>
        <w:t>1</w:t>
      </w:r>
      <w:r>
        <w:rPr>
          <w:rFonts w:eastAsia="宋体"/>
          <w:szCs w:val="20"/>
        </w:rPr>
        <w:t>.</w:t>
      </w:r>
      <w:r>
        <w:rPr>
          <w:rFonts w:hint="eastAsia" w:eastAsia="宋体"/>
          <w:szCs w:val="20"/>
        </w:rPr>
        <w:t>7</w:t>
      </w:r>
      <w:r>
        <w:rPr>
          <w:rFonts w:eastAsia="宋体"/>
          <w:szCs w:val="20"/>
        </w:rPr>
        <w:t>7</w:t>
      </w:r>
      <w:r>
        <w:rPr>
          <w:rFonts w:hint="eastAsia" w:eastAsia="宋体"/>
          <w:szCs w:val="20"/>
        </w:rPr>
        <w:t>亿</w:t>
      </w:r>
      <w:r>
        <w:rPr>
          <w:rFonts w:eastAsia="宋体"/>
          <w:szCs w:val="20"/>
        </w:rPr>
        <w:t>kW</w:t>
      </w:r>
      <w:r>
        <w:rPr>
          <w:rFonts w:hint="eastAsia" w:eastAsia="宋体"/>
          <w:szCs w:val="20"/>
        </w:rPr>
        <w:t>•</w:t>
      </w:r>
      <w:r>
        <w:rPr>
          <w:rFonts w:eastAsia="宋体"/>
          <w:szCs w:val="20"/>
        </w:rPr>
        <w:t>h</w:t>
      </w:r>
      <w:r>
        <w:rPr>
          <w:rFonts w:hint="eastAsia" w:eastAsia="宋体"/>
          <w:szCs w:val="20"/>
        </w:rPr>
        <w:t>。</w:t>
      </w:r>
    </w:p>
    <w:p>
      <w:pPr>
        <w:spacing w:line="360" w:lineRule="auto"/>
        <w:ind w:firstLine="480" w:firstLineChars="200"/>
        <w:jc w:val="both"/>
        <w:rPr>
          <w:rFonts w:eastAsia="宋体"/>
          <w:szCs w:val="20"/>
        </w:rPr>
      </w:pPr>
      <w:r>
        <w:rPr>
          <w:rFonts w:hint="eastAsia" w:eastAsia="宋体"/>
          <w:szCs w:val="20"/>
        </w:rPr>
        <w:t>金沙水电站环境影响报告书于2015年1月28日取得原环境保护部《关于金沙江金沙水电站环境影响报告书的批复》，</w:t>
      </w:r>
      <w:r>
        <w:rPr>
          <w:rFonts w:eastAsia="宋体"/>
          <w:szCs w:val="20"/>
        </w:rPr>
        <w:t>2016</w:t>
      </w:r>
      <w:r>
        <w:rPr>
          <w:rFonts w:hint="eastAsia" w:eastAsia="宋体"/>
          <w:szCs w:val="20"/>
        </w:rPr>
        <w:t>年</w:t>
      </w:r>
      <w:r>
        <w:rPr>
          <w:rFonts w:eastAsia="宋体"/>
          <w:szCs w:val="20"/>
        </w:rPr>
        <w:t>8</w:t>
      </w:r>
      <w:r>
        <w:rPr>
          <w:rFonts w:hint="eastAsia" w:eastAsia="宋体"/>
          <w:szCs w:val="20"/>
        </w:rPr>
        <w:t>月获得国家发改委核准，同年</w:t>
      </w:r>
      <w:r>
        <w:rPr>
          <w:rFonts w:eastAsia="宋体"/>
          <w:szCs w:val="20"/>
        </w:rPr>
        <w:t>9</w:t>
      </w:r>
      <w:r>
        <w:rPr>
          <w:rFonts w:hint="eastAsia" w:eastAsia="宋体"/>
          <w:szCs w:val="20"/>
        </w:rPr>
        <w:t>月正式开工，</w:t>
      </w:r>
      <w:r>
        <w:rPr>
          <w:rFonts w:eastAsia="宋体"/>
          <w:szCs w:val="20"/>
        </w:rPr>
        <w:t>2016</w:t>
      </w:r>
      <w:r>
        <w:rPr>
          <w:rFonts w:hint="eastAsia" w:eastAsia="宋体"/>
          <w:szCs w:val="20"/>
        </w:rPr>
        <w:t>年</w:t>
      </w:r>
      <w:r>
        <w:rPr>
          <w:rFonts w:eastAsia="宋体"/>
          <w:szCs w:val="20"/>
        </w:rPr>
        <w:t>12</w:t>
      </w:r>
      <w:r>
        <w:rPr>
          <w:rFonts w:hint="eastAsia" w:eastAsia="宋体"/>
          <w:szCs w:val="20"/>
        </w:rPr>
        <w:t>月实现大江截流。</w:t>
      </w:r>
      <w:r>
        <w:rPr>
          <w:rFonts w:eastAsia="宋体"/>
          <w:szCs w:val="20"/>
        </w:rPr>
        <w:t>2020</w:t>
      </w:r>
      <w:r>
        <w:rPr>
          <w:rFonts w:hint="eastAsia" w:eastAsia="宋体"/>
          <w:szCs w:val="20"/>
        </w:rPr>
        <w:t>年</w:t>
      </w:r>
      <w:r>
        <w:rPr>
          <w:rFonts w:eastAsia="宋体"/>
          <w:szCs w:val="20"/>
        </w:rPr>
        <w:t>8</w:t>
      </w:r>
      <w:r>
        <w:rPr>
          <w:rFonts w:hint="eastAsia" w:eastAsia="宋体"/>
          <w:szCs w:val="20"/>
        </w:rPr>
        <w:t>月金沙水电站通过蓄水阶段环境保护验收，工程于</w:t>
      </w:r>
      <w:r>
        <w:rPr>
          <w:rFonts w:eastAsia="宋体"/>
          <w:szCs w:val="20"/>
        </w:rPr>
        <w:t>2020</w:t>
      </w:r>
      <w:r>
        <w:rPr>
          <w:rFonts w:hint="eastAsia" w:eastAsia="宋体"/>
          <w:szCs w:val="20"/>
        </w:rPr>
        <w:t>年</w:t>
      </w:r>
      <w:r>
        <w:rPr>
          <w:rFonts w:eastAsia="宋体"/>
          <w:szCs w:val="20"/>
        </w:rPr>
        <w:t>10</w:t>
      </w:r>
      <w:r>
        <w:rPr>
          <w:rFonts w:hint="eastAsia" w:eastAsia="宋体"/>
          <w:szCs w:val="20"/>
        </w:rPr>
        <w:t>月下闸蓄水，</w:t>
      </w:r>
      <w:r>
        <w:rPr>
          <w:rFonts w:eastAsia="宋体"/>
          <w:szCs w:val="20"/>
        </w:rPr>
        <w:t>2020</w:t>
      </w:r>
      <w:r>
        <w:rPr>
          <w:rFonts w:hint="eastAsia" w:eastAsia="宋体"/>
          <w:szCs w:val="20"/>
        </w:rPr>
        <w:t>年</w:t>
      </w:r>
      <w:r>
        <w:rPr>
          <w:rFonts w:eastAsia="宋体"/>
          <w:szCs w:val="20"/>
        </w:rPr>
        <w:t>11</w:t>
      </w:r>
      <w:r>
        <w:rPr>
          <w:rFonts w:hint="eastAsia" w:eastAsia="宋体"/>
          <w:szCs w:val="20"/>
        </w:rPr>
        <w:t>月30日首台机组发电，</w:t>
      </w:r>
      <w:r>
        <w:rPr>
          <w:rFonts w:eastAsia="宋体"/>
          <w:szCs w:val="20"/>
        </w:rPr>
        <w:t>2021</w:t>
      </w:r>
      <w:r>
        <w:rPr>
          <w:rFonts w:hint="eastAsia" w:eastAsia="宋体"/>
          <w:szCs w:val="20"/>
        </w:rPr>
        <w:t>年</w:t>
      </w:r>
      <w:r>
        <w:rPr>
          <w:rFonts w:eastAsia="宋体"/>
          <w:szCs w:val="20"/>
        </w:rPr>
        <w:t>10</w:t>
      </w:r>
      <w:r>
        <w:rPr>
          <w:rFonts w:hint="eastAsia" w:eastAsia="宋体"/>
          <w:szCs w:val="20"/>
        </w:rPr>
        <w:t>月全部机组投产发电。</w:t>
      </w:r>
    </w:p>
    <w:p>
      <w:pPr>
        <w:adjustRightInd/>
        <w:spacing w:line="360" w:lineRule="auto"/>
        <w:ind w:firstLine="482" w:firstLineChars="200"/>
        <w:contextualSpacing/>
        <w:jc w:val="both"/>
        <w:rPr>
          <w:rFonts w:eastAsia="宋体"/>
          <w:b/>
          <w:bCs/>
          <w:snapToGrid w:val="0"/>
        </w:rPr>
      </w:pPr>
      <w:r>
        <w:rPr>
          <w:rFonts w:eastAsia="宋体"/>
          <w:b/>
          <w:bCs/>
          <w:snapToGrid w:val="0"/>
        </w:rPr>
        <w:t>2.</w:t>
      </w:r>
      <w:r>
        <w:rPr>
          <w:rFonts w:hint="eastAsia" w:eastAsia="宋体"/>
          <w:b/>
          <w:bCs/>
          <w:snapToGrid w:val="0"/>
        </w:rPr>
        <w:t>招标范围</w:t>
      </w:r>
    </w:p>
    <w:p>
      <w:pPr>
        <w:spacing w:line="360" w:lineRule="auto"/>
        <w:ind w:firstLine="480" w:firstLineChars="200"/>
        <w:jc w:val="both"/>
        <w:rPr>
          <w:rFonts w:eastAsia="宋体"/>
          <w:lang w:bidi="en-US"/>
        </w:rPr>
      </w:pPr>
      <w:r>
        <w:rPr>
          <w:rFonts w:eastAsia="宋体"/>
        </w:rPr>
        <w:t>本次招标范围为金沙江金沙水电站</w:t>
      </w:r>
      <w:r>
        <w:rPr>
          <w:rFonts w:hint="eastAsia" w:eastAsia="宋体"/>
        </w:rPr>
        <w:t>竣工</w:t>
      </w:r>
      <w:r>
        <w:rPr>
          <w:rFonts w:eastAsia="宋体"/>
        </w:rPr>
        <w:t>环境保护验收</w:t>
      </w:r>
      <w:r>
        <w:rPr>
          <w:rFonts w:hint="eastAsia" w:eastAsia="宋体"/>
        </w:rPr>
        <w:t>及运行期陆生生态调查，调查范围即</w:t>
      </w:r>
      <w:r>
        <w:rPr>
          <w:rFonts w:eastAsia="宋体"/>
        </w:rPr>
        <w:t>枢纽工程施工区、水库淹没区、移民安置区等工程建设区及环境影响区。主要工作内容包括但不限于：通过调查金沙江金沙水电站工程建设内容与变更情况、环境敏感目标基本情况及变更情况、环境保护设施“三同时”制度的执行情况、环保措施落实情况及有效性，环境管理、环境监理和环境监测落实情况</w:t>
      </w:r>
      <w:r>
        <w:rPr>
          <w:rFonts w:hint="eastAsia" w:eastAsia="宋体"/>
        </w:rPr>
        <w:t>等，</w:t>
      </w:r>
      <w:r>
        <w:rPr>
          <w:rFonts w:eastAsia="宋体"/>
        </w:rPr>
        <w:t>分析工程施工期</w:t>
      </w:r>
      <w:r>
        <w:rPr>
          <w:rFonts w:hint="eastAsia" w:eastAsia="宋体"/>
        </w:rPr>
        <w:t>和蓄水运行至今的</w:t>
      </w:r>
      <w:r>
        <w:rPr>
          <w:rFonts w:eastAsia="宋体"/>
        </w:rPr>
        <w:t>工程环境状况，对照工程环境影响报告书与批复意见，评估金沙水电站工程环境保护工作落实情况，编制金沙江金沙水电站</w:t>
      </w:r>
      <w:r>
        <w:rPr>
          <w:rFonts w:hint="eastAsia" w:eastAsia="宋体"/>
        </w:rPr>
        <w:t>竣工</w:t>
      </w:r>
      <w:r>
        <w:rPr>
          <w:rFonts w:eastAsia="宋体"/>
        </w:rPr>
        <w:t>环境保护验收</w:t>
      </w:r>
      <w:r>
        <w:rPr>
          <w:rFonts w:hint="eastAsia" w:eastAsia="宋体"/>
        </w:rPr>
        <w:t>调查</w:t>
      </w:r>
      <w:r>
        <w:rPr>
          <w:rFonts w:eastAsia="宋体"/>
        </w:rPr>
        <w:t>报告</w:t>
      </w:r>
      <w:r>
        <w:rPr>
          <w:rFonts w:hint="eastAsia" w:eastAsia="宋体"/>
        </w:rPr>
        <w:t>；开展环评报告及批复要求的验收前陆生生态调查，编制运行期陆生生态调查与评价专题报告；协助招标人完成公示及备案工作</w:t>
      </w:r>
      <w:r>
        <w:rPr>
          <w:rFonts w:eastAsia="宋体"/>
        </w:rPr>
        <w:t>，为工程竣工环境保护验收提供支撑和依据</w:t>
      </w:r>
      <w:r>
        <w:rPr>
          <w:rFonts w:eastAsia="宋体"/>
          <w:lang w:bidi="en-US"/>
        </w:rPr>
        <w:t>。</w:t>
      </w:r>
    </w:p>
    <w:p>
      <w:pPr>
        <w:adjustRightInd/>
        <w:spacing w:line="360" w:lineRule="auto"/>
        <w:ind w:firstLine="482" w:firstLineChars="200"/>
        <w:contextualSpacing/>
        <w:jc w:val="both"/>
        <w:rPr>
          <w:rFonts w:eastAsia="宋体"/>
          <w:b/>
          <w:bCs/>
          <w:snapToGrid w:val="0"/>
        </w:rPr>
      </w:pPr>
      <w:r>
        <w:rPr>
          <w:rFonts w:eastAsia="宋体"/>
          <w:b/>
          <w:bCs/>
          <w:snapToGrid w:val="0"/>
        </w:rPr>
        <w:t>3.</w:t>
      </w:r>
      <w:r>
        <w:rPr>
          <w:rFonts w:hint="eastAsia" w:eastAsia="宋体"/>
          <w:b/>
          <w:bCs/>
          <w:snapToGrid w:val="0"/>
        </w:rPr>
        <w:t>服务期限</w:t>
      </w:r>
    </w:p>
    <w:p>
      <w:pPr>
        <w:spacing w:line="360" w:lineRule="auto"/>
        <w:ind w:firstLine="480" w:firstLineChars="200"/>
        <w:jc w:val="both"/>
        <w:rPr>
          <w:rFonts w:eastAsia="宋体"/>
          <w:lang w:bidi="en-US"/>
        </w:rPr>
      </w:pPr>
      <w:r>
        <w:rPr>
          <w:rFonts w:eastAsia="宋体"/>
        </w:rPr>
        <w:t>合同签订之日起至金沙水电站</w:t>
      </w:r>
      <w:r>
        <w:rPr>
          <w:rFonts w:hint="eastAsia" w:eastAsia="宋体"/>
        </w:rPr>
        <w:t>竣工环境保护</w:t>
      </w:r>
      <w:r>
        <w:rPr>
          <w:rFonts w:eastAsia="宋体"/>
        </w:rPr>
        <w:t>验收通过验收并完成验收备案</w:t>
      </w:r>
      <w:r>
        <w:rPr>
          <w:rFonts w:eastAsia="宋体"/>
          <w:lang w:bidi="en-US"/>
        </w:rPr>
        <w:t>。</w:t>
      </w:r>
    </w:p>
    <w:p>
      <w:pPr>
        <w:adjustRightInd/>
        <w:spacing w:line="360" w:lineRule="auto"/>
        <w:ind w:firstLine="482" w:firstLineChars="200"/>
        <w:contextualSpacing/>
        <w:jc w:val="both"/>
        <w:rPr>
          <w:rFonts w:eastAsia="宋体"/>
          <w:b/>
          <w:bCs/>
          <w:snapToGrid w:val="0"/>
        </w:rPr>
      </w:pPr>
      <w:r>
        <w:rPr>
          <w:rFonts w:eastAsia="宋体"/>
          <w:b/>
          <w:bCs/>
          <w:snapToGrid w:val="0"/>
        </w:rPr>
        <w:t>4.投标人资格要求</w:t>
      </w:r>
    </w:p>
    <w:p>
      <w:pPr>
        <w:snapToGrid w:val="0"/>
        <w:spacing w:line="360" w:lineRule="auto"/>
        <w:ind w:firstLine="480" w:firstLineChars="200"/>
        <w:jc w:val="both"/>
        <w:rPr>
          <w:rFonts w:eastAsia="宋体"/>
        </w:rPr>
      </w:pPr>
      <w:r>
        <w:rPr>
          <w:rFonts w:eastAsia="宋体"/>
        </w:rPr>
        <w:t>（1）资质条件：具有独立法人资格；</w:t>
      </w:r>
    </w:p>
    <w:p>
      <w:pPr>
        <w:snapToGrid w:val="0"/>
        <w:spacing w:line="360" w:lineRule="auto"/>
        <w:ind w:firstLine="480" w:firstLineChars="200"/>
        <w:jc w:val="both"/>
        <w:rPr>
          <w:rFonts w:eastAsia="宋体"/>
        </w:rPr>
      </w:pPr>
      <w:r>
        <w:rPr>
          <w:rFonts w:eastAsia="宋体"/>
        </w:rPr>
        <w:t>（2）资质等级要求：投标人应同时具有工程设计综合甲级资质、工程勘察综合类甲级资质。</w:t>
      </w:r>
    </w:p>
    <w:p>
      <w:pPr>
        <w:snapToGrid w:val="0"/>
        <w:spacing w:line="360" w:lineRule="auto"/>
        <w:ind w:firstLine="480" w:firstLineChars="200"/>
        <w:jc w:val="both"/>
        <w:rPr>
          <w:rFonts w:eastAsia="宋体"/>
          <w:snapToGrid w:val="0"/>
        </w:rPr>
      </w:pPr>
      <w:r>
        <w:rPr>
          <w:rFonts w:eastAsia="宋体"/>
        </w:rPr>
        <w:t>（3）业绩要求：近3年（2019年01月01日至投标截止日）至少有2项中型及以上水电水利工程竣工环境保护验收调查业绩</w:t>
      </w:r>
      <w:r>
        <w:rPr>
          <w:rFonts w:hint="eastAsia" w:eastAsia="宋体"/>
        </w:rPr>
        <w:t>，且至少有</w:t>
      </w:r>
      <w:r>
        <w:rPr>
          <w:rFonts w:eastAsia="宋体"/>
        </w:rPr>
        <w:t>1</w:t>
      </w:r>
      <w:r>
        <w:rPr>
          <w:rFonts w:hint="eastAsia" w:eastAsia="宋体"/>
        </w:rPr>
        <w:t>项陆生生态调查业绩</w:t>
      </w:r>
      <w:r>
        <w:rPr>
          <w:rFonts w:eastAsia="宋体"/>
        </w:rPr>
        <w:t>。</w:t>
      </w:r>
    </w:p>
    <w:p>
      <w:pPr>
        <w:snapToGrid w:val="0"/>
        <w:spacing w:line="360" w:lineRule="auto"/>
        <w:ind w:firstLine="480" w:firstLineChars="200"/>
        <w:jc w:val="both"/>
        <w:rPr>
          <w:rFonts w:eastAsia="宋体"/>
          <w:snapToGrid w:val="0"/>
        </w:rPr>
      </w:pPr>
      <w:r>
        <w:rPr>
          <w:rFonts w:hint="eastAsia" w:eastAsia="宋体"/>
          <w:snapToGrid w:val="0"/>
        </w:rPr>
        <w:t>（</w:t>
      </w:r>
      <w:r>
        <w:rPr>
          <w:rFonts w:eastAsia="宋体"/>
          <w:snapToGrid w:val="0"/>
        </w:rPr>
        <w:t>4</w:t>
      </w:r>
      <w:r>
        <w:rPr>
          <w:rFonts w:hint="eastAsia" w:eastAsia="宋体"/>
          <w:snapToGrid w:val="0"/>
        </w:rPr>
        <w:t>）其他要求：本项目不接受联合体投标，项目主体设计单位、环境影响评价单位不得参与本次投标。投标人不能作为其他投标人的分包人同时参加投标；单位负责人为同一人或者存在控股、管理关系的不同单位，不得参加同一标段投标或者未划分标段的同一招标项目投标。</w:t>
      </w:r>
    </w:p>
    <w:p>
      <w:pPr>
        <w:adjustRightInd/>
        <w:spacing w:line="360" w:lineRule="auto"/>
        <w:ind w:firstLine="482" w:firstLineChars="200"/>
        <w:contextualSpacing/>
        <w:jc w:val="both"/>
        <w:rPr>
          <w:rFonts w:eastAsia="宋体"/>
          <w:b/>
          <w:bCs/>
          <w:snapToGrid w:val="0"/>
        </w:rPr>
      </w:pPr>
      <w:r>
        <w:rPr>
          <w:rFonts w:eastAsia="宋体"/>
          <w:b/>
          <w:bCs/>
          <w:snapToGrid w:val="0"/>
        </w:rPr>
        <w:t>5.</w:t>
      </w:r>
      <w:r>
        <w:rPr>
          <w:rFonts w:hint="eastAsia" w:eastAsia="宋体"/>
          <w:b/>
          <w:bCs/>
          <w:snapToGrid w:val="0"/>
        </w:rPr>
        <w:t>招标文件的获取</w:t>
      </w:r>
    </w:p>
    <w:p>
      <w:pPr>
        <w:adjustRightInd/>
        <w:spacing w:line="360" w:lineRule="auto"/>
        <w:ind w:firstLine="484" w:firstLineChars="200"/>
        <w:contextualSpacing/>
        <w:jc w:val="both"/>
        <w:rPr>
          <w:rFonts w:ascii="宋体" w:hAnsi="宋体" w:eastAsia="宋体" w:cs="宋体"/>
          <w:spacing w:val="1"/>
        </w:rPr>
      </w:pPr>
      <w:r>
        <w:rPr>
          <w:rFonts w:hint="eastAsia" w:ascii="宋体" w:hAnsi="宋体" w:eastAsia="宋体" w:cs="宋体"/>
          <w:spacing w:val="1"/>
        </w:rPr>
        <w:t>有意参加投标者，请于</w:t>
      </w:r>
      <w:r>
        <w:rPr>
          <w:rFonts w:eastAsia="宋体"/>
          <w:spacing w:val="1"/>
        </w:rPr>
        <w:t>2022</w:t>
      </w:r>
      <w:r>
        <w:rPr>
          <w:rFonts w:hint="eastAsia" w:ascii="宋体" w:hAnsi="宋体" w:eastAsia="宋体" w:cs="宋体"/>
          <w:spacing w:val="1"/>
        </w:rPr>
        <w:t>年</w:t>
      </w:r>
      <w:r>
        <w:rPr>
          <w:rFonts w:hint="eastAsia" w:eastAsia="宋体"/>
          <w:spacing w:val="1"/>
          <w:lang w:val="en-US" w:eastAsia="zh-CN"/>
        </w:rPr>
        <w:t>2</w:t>
      </w:r>
      <w:r>
        <w:rPr>
          <w:rFonts w:hint="eastAsia" w:ascii="宋体" w:hAnsi="宋体" w:eastAsia="宋体" w:cs="宋体"/>
          <w:spacing w:val="1"/>
        </w:rPr>
        <w:t>月</w:t>
      </w:r>
      <w:r>
        <w:rPr>
          <w:rFonts w:hint="eastAsia" w:eastAsia="宋体"/>
          <w:spacing w:val="1"/>
          <w:lang w:val="en-US" w:eastAsia="zh-CN"/>
        </w:rPr>
        <w:t>14</w:t>
      </w:r>
      <w:r>
        <w:rPr>
          <w:rFonts w:hint="eastAsia" w:ascii="宋体" w:hAnsi="宋体" w:eastAsia="宋体" w:cs="宋体"/>
          <w:spacing w:val="1"/>
        </w:rPr>
        <w:t>日开始登录四川省能投攀枝花水电开发有限公司官网（http://pzh.scnyw.com//）下载招标文件。</w:t>
      </w:r>
    </w:p>
    <w:p>
      <w:pPr>
        <w:adjustRightInd/>
        <w:spacing w:line="360" w:lineRule="auto"/>
        <w:ind w:firstLine="482" w:firstLineChars="200"/>
        <w:contextualSpacing/>
        <w:rPr>
          <w:rFonts w:ascii="宋体" w:hAnsi="宋体" w:eastAsia="宋体" w:cs="宋体"/>
          <w:b/>
          <w:bCs/>
          <w:snapToGrid w:val="0"/>
        </w:rPr>
      </w:pPr>
      <w:r>
        <w:rPr>
          <w:rFonts w:hint="eastAsia" w:ascii="宋体" w:hAnsi="宋体" w:eastAsia="宋体" w:cs="宋体"/>
          <w:b/>
          <w:bCs/>
          <w:snapToGrid w:val="0"/>
        </w:rPr>
        <w:t>6.投标文件的递交</w:t>
      </w:r>
    </w:p>
    <w:p>
      <w:pPr>
        <w:snapToGrid w:val="0"/>
        <w:spacing w:line="360" w:lineRule="auto"/>
        <w:ind w:firstLine="480" w:firstLineChars="200"/>
        <w:jc w:val="both"/>
        <w:rPr>
          <w:rFonts w:eastAsia="宋体"/>
        </w:rPr>
      </w:pPr>
      <w:r>
        <w:rPr>
          <w:rFonts w:hint="eastAsia" w:eastAsia="宋体"/>
        </w:rPr>
        <w:t>（</w:t>
      </w:r>
      <w:r>
        <w:rPr>
          <w:rFonts w:eastAsia="宋体"/>
        </w:rPr>
        <w:t>1</w:t>
      </w:r>
      <w:r>
        <w:rPr>
          <w:rFonts w:hint="eastAsia" w:eastAsia="宋体"/>
        </w:rPr>
        <w:t>）投标文件的</w:t>
      </w:r>
      <w:r>
        <w:rPr>
          <w:rFonts w:eastAsia="宋体"/>
        </w:rPr>
        <w:t>递交截止时间：2022年</w:t>
      </w:r>
      <w:r>
        <w:rPr>
          <w:rFonts w:hint="eastAsia" w:eastAsia="宋体"/>
          <w:lang w:val="en-US" w:eastAsia="zh-CN"/>
        </w:rPr>
        <w:t>3</w:t>
      </w:r>
      <w:r>
        <w:rPr>
          <w:rFonts w:eastAsia="宋体"/>
        </w:rPr>
        <w:t>月</w:t>
      </w:r>
      <w:r>
        <w:rPr>
          <w:rFonts w:hint="eastAsia" w:eastAsia="宋体"/>
          <w:lang w:val="en-US" w:eastAsia="zh-CN"/>
        </w:rPr>
        <w:t>7</w:t>
      </w:r>
      <w:r>
        <w:rPr>
          <w:rFonts w:eastAsia="宋体"/>
        </w:rPr>
        <w:t>日</w:t>
      </w:r>
      <w:r>
        <w:rPr>
          <w:rFonts w:hint="eastAsia" w:eastAsia="宋体"/>
        </w:rPr>
        <w:t>10</w:t>
      </w:r>
      <w:r>
        <w:rPr>
          <w:rFonts w:eastAsia="宋体"/>
        </w:rPr>
        <w:t>时（北京时间）。</w:t>
      </w:r>
    </w:p>
    <w:p>
      <w:pPr>
        <w:snapToGrid w:val="0"/>
        <w:spacing w:line="360" w:lineRule="auto"/>
        <w:ind w:firstLine="480" w:firstLineChars="200"/>
        <w:jc w:val="both"/>
        <w:rPr>
          <w:rFonts w:eastAsia="宋体"/>
        </w:rPr>
      </w:pPr>
      <w:r>
        <w:rPr>
          <w:rFonts w:hint="eastAsia" w:eastAsia="宋体"/>
        </w:rPr>
        <w:t>（</w:t>
      </w:r>
      <w:r>
        <w:rPr>
          <w:rFonts w:eastAsia="宋体"/>
        </w:rPr>
        <w:t>2</w:t>
      </w:r>
      <w:r>
        <w:rPr>
          <w:rFonts w:hint="eastAsia" w:eastAsia="宋体"/>
        </w:rPr>
        <w:t>）投标文件</w:t>
      </w:r>
      <w:r>
        <w:rPr>
          <w:rFonts w:eastAsia="宋体"/>
        </w:rPr>
        <w:t>递交地点：</w:t>
      </w:r>
      <w:r>
        <w:rPr>
          <w:rFonts w:hint="eastAsia" w:eastAsia="宋体"/>
        </w:rPr>
        <w:t>四川省攀枝花市西区建福巷</w:t>
      </w:r>
      <w:r>
        <w:rPr>
          <w:rFonts w:eastAsia="宋体"/>
        </w:rPr>
        <w:t>88</w:t>
      </w:r>
      <w:r>
        <w:rPr>
          <w:rFonts w:hint="eastAsia" w:eastAsia="宋体"/>
        </w:rPr>
        <w:t>号4楼407。</w:t>
      </w:r>
    </w:p>
    <w:p>
      <w:pPr>
        <w:snapToGrid w:val="0"/>
        <w:spacing w:line="360" w:lineRule="auto"/>
        <w:ind w:firstLine="480" w:firstLineChars="200"/>
        <w:jc w:val="both"/>
        <w:rPr>
          <w:rFonts w:eastAsia="宋体"/>
        </w:rPr>
      </w:pPr>
      <w:r>
        <w:rPr>
          <w:rFonts w:hint="eastAsia" w:eastAsia="宋体"/>
        </w:rPr>
        <w:t>（</w:t>
      </w:r>
      <w:r>
        <w:rPr>
          <w:rFonts w:eastAsia="宋体"/>
        </w:rPr>
        <w:t>3</w:t>
      </w:r>
      <w:r>
        <w:rPr>
          <w:rFonts w:hint="eastAsia" w:eastAsia="宋体"/>
        </w:rPr>
        <w:t>）逾期送达的或者未送达指定地点的投标文件，招标人不予受理。</w:t>
      </w:r>
    </w:p>
    <w:p>
      <w:pPr>
        <w:adjustRightInd/>
        <w:spacing w:line="360" w:lineRule="auto"/>
        <w:ind w:firstLine="480" w:firstLineChars="200"/>
        <w:contextualSpacing/>
        <w:rPr>
          <w:rFonts w:eastAsia="宋体"/>
          <w:snapToGrid w:val="0"/>
        </w:rPr>
      </w:pPr>
      <w:r>
        <w:rPr>
          <w:rFonts w:eastAsia="宋体"/>
          <w:snapToGrid w:val="0"/>
        </w:rPr>
        <w:t>7.</w:t>
      </w:r>
      <w:r>
        <w:rPr>
          <w:rFonts w:hint="eastAsia" w:eastAsia="宋体"/>
          <w:snapToGrid w:val="0"/>
        </w:rPr>
        <w:t>发布公告的媒介</w:t>
      </w:r>
    </w:p>
    <w:p>
      <w:pPr>
        <w:spacing w:line="360" w:lineRule="auto"/>
        <w:ind w:firstLine="480" w:firstLineChars="200"/>
        <w:rPr>
          <w:rFonts w:eastAsia="宋体"/>
        </w:rPr>
      </w:pPr>
      <w:r>
        <w:rPr>
          <w:rFonts w:hint="eastAsia" w:eastAsia="宋体"/>
        </w:rPr>
        <w:t>招标公告在四川省能投攀枝花水电开发有限公司官网</w:t>
      </w:r>
      <w:r>
        <w:rPr>
          <w:rFonts w:hint="eastAsia" w:ascii="time" w:hAnsi="time" w:eastAsia="宋体" w:cs="宋体"/>
          <w:spacing w:val="1"/>
        </w:rPr>
        <w:t>（http://pzh.scnyw.com//）</w:t>
      </w:r>
      <w:r>
        <w:rPr>
          <w:rFonts w:hint="eastAsia" w:eastAsia="宋体"/>
        </w:rPr>
        <w:t>（发布公告的所有媒介名称）上发布。</w:t>
      </w:r>
    </w:p>
    <w:p>
      <w:pPr>
        <w:adjustRightInd/>
        <w:spacing w:line="360" w:lineRule="auto"/>
        <w:ind w:firstLine="480" w:firstLineChars="200"/>
        <w:contextualSpacing/>
        <w:rPr>
          <w:rFonts w:eastAsia="宋体"/>
          <w:snapToGrid w:val="0"/>
        </w:rPr>
      </w:pPr>
      <w:r>
        <w:rPr>
          <w:rFonts w:eastAsia="宋体"/>
          <w:snapToGrid w:val="0"/>
        </w:rPr>
        <w:t>8.联系方式</w:t>
      </w:r>
    </w:p>
    <w:p>
      <w:pPr>
        <w:adjustRightInd/>
        <w:spacing w:line="360" w:lineRule="auto"/>
        <w:ind w:firstLine="480" w:firstLineChars="200"/>
        <w:contextualSpacing/>
        <w:rPr>
          <w:rFonts w:eastAsia="宋体"/>
          <w:snapToGrid w:val="0"/>
        </w:rPr>
      </w:pPr>
      <w:r>
        <w:rPr>
          <w:rFonts w:hint="eastAsia" w:eastAsia="宋体"/>
          <w:snapToGrid w:val="0"/>
        </w:rPr>
        <w:t>招</w:t>
      </w:r>
      <w:r>
        <w:rPr>
          <w:rFonts w:eastAsia="宋体"/>
          <w:snapToGrid w:val="0"/>
        </w:rPr>
        <w:t xml:space="preserve"> </w:t>
      </w:r>
      <w:r>
        <w:rPr>
          <w:rFonts w:hint="eastAsia" w:eastAsia="宋体"/>
          <w:snapToGrid w:val="0"/>
        </w:rPr>
        <w:t>标</w:t>
      </w:r>
      <w:r>
        <w:rPr>
          <w:rFonts w:eastAsia="宋体"/>
          <w:snapToGrid w:val="0"/>
        </w:rPr>
        <w:t xml:space="preserve"> </w:t>
      </w:r>
      <w:r>
        <w:rPr>
          <w:rFonts w:hint="eastAsia" w:eastAsia="宋体"/>
          <w:snapToGrid w:val="0"/>
        </w:rPr>
        <w:t>人：四川省能投攀枝花水电开发有限公司</w:t>
      </w:r>
    </w:p>
    <w:p>
      <w:pPr>
        <w:adjustRightInd/>
        <w:spacing w:line="360" w:lineRule="auto"/>
        <w:ind w:firstLine="480" w:firstLineChars="200"/>
        <w:contextualSpacing/>
        <w:rPr>
          <w:rFonts w:eastAsia="宋体"/>
          <w:snapToGrid w:val="0"/>
        </w:rPr>
      </w:pPr>
      <w:r>
        <w:rPr>
          <w:rFonts w:hint="eastAsia" w:eastAsia="宋体"/>
          <w:snapToGrid w:val="0"/>
        </w:rPr>
        <w:t>地</w:t>
      </w:r>
      <w:r>
        <w:rPr>
          <w:rFonts w:eastAsia="宋体"/>
          <w:snapToGrid w:val="0"/>
        </w:rPr>
        <w:t xml:space="preserve">    </w:t>
      </w:r>
      <w:r>
        <w:rPr>
          <w:rFonts w:hint="eastAsia" w:eastAsia="宋体"/>
          <w:snapToGrid w:val="0"/>
        </w:rPr>
        <w:t xml:space="preserve">  址：四川省攀枝花市西区建福巷</w:t>
      </w:r>
      <w:r>
        <w:rPr>
          <w:rFonts w:eastAsia="宋体"/>
          <w:snapToGrid w:val="0"/>
        </w:rPr>
        <w:t>88</w:t>
      </w:r>
      <w:r>
        <w:rPr>
          <w:rFonts w:hint="eastAsia" w:eastAsia="宋体"/>
          <w:snapToGrid w:val="0"/>
        </w:rPr>
        <w:t>号</w:t>
      </w:r>
    </w:p>
    <w:p>
      <w:pPr>
        <w:adjustRightInd/>
        <w:spacing w:line="360" w:lineRule="auto"/>
        <w:ind w:firstLine="480" w:firstLineChars="200"/>
        <w:contextualSpacing/>
        <w:rPr>
          <w:rFonts w:eastAsia="宋体"/>
          <w:snapToGrid w:val="0"/>
        </w:rPr>
      </w:pPr>
      <w:r>
        <w:rPr>
          <w:rFonts w:hint="eastAsia" w:eastAsia="宋体"/>
          <w:snapToGrid w:val="0"/>
        </w:rPr>
        <w:t>联</w:t>
      </w:r>
      <w:r>
        <w:rPr>
          <w:rFonts w:eastAsia="宋体"/>
          <w:snapToGrid w:val="0"/>
        </w:rPr>
        <w:t xml:space="preserve"> </w:t>
      </w:r>
      <w:r>
        <w:rPr>
          <w:rFonts w:hint="eastAsia" w:eastAsia="宋体"/>
          <w:snapToGrid w:val="0"/>
        </w:rPr>
        <w:t>系</w:t>
      </w:r>
      <w:r>
        <w:rPr>
          <w:rFonts w:eastAsia="宋体"/>
          <w:snapToGrid w:val="0"/>
        </w:rPr>
        <w:t xml:space="preserve"> </w:t>
      </w:r>
      <w:r>
        <w:rPr>
          <w:rFonts w:hint="eastAsia" w:eastAsia="宋体"/>
          <w:snapToGrid w:val="0"/>
        </w:rPr>
        <w:t xml:space="preserve">人：李先生 </w:t>
      </w:r>
    </w:p>
    <w:p>
      <w:pPr>
        <w:adjustRightInd/>
        <w:spacing w:line="360" w:lineRule="auto"/>
        <w:ind w:firstLine="480" w:firstLineChars="200"/>
        <w:contextualSpacing/>
        <w:rPr>
          <w:rFonts w:eastAsia="宋体"/>
          <w:snapToGrid w:val="0"/>
        </w:rPr>
      </w:pPr>
      <w:r>
        <w:rPr>
          <w:rFonts w:hint="eastAsia" w:eastAsia="宋体"/>
          <w:snapToGrid w:val="0"/>
        </w:rPr>
        <w:t>电</w:t>
      </w:r>
      <w:r>
        <w:rPr>
          <w:rFonts w:eastAsia="宋体"/>
          <w:snapToGrid w:val="0"/>
        </w:rPr>
        <w:t xml:space="preserve">    </w:t>
      </w:r>
      <w:r>
        <w:rPr>
          <w:rFonts w:hint="eastAsia" w:eastAsia="宋体"/>
          <w:snapToGrid w:val="0"/>
        </w:rPr>
        <w:t xml:space="preserve">  话：</w:t>
      </w:r>
      <w:r>
        <w:rPr>
          <w:rFonts w:eastAsia="宋体"/>
          <w:snapToGrid w:val="0"/>
        </w:rPr>
        <w:t>0812-31512</w:t>
      </w:r>
      <w:r>
        <w:rPr>
          <w:rFonts w:hint="eastAsia" w:eastAsia="宋体"/>
          <w:snapToGrid w:val="0"/>
        </w:rPr>
        <w:t xml:space="preserve">23 </w:t>
      </w:r>
    </w:p>
    <w:p>
      <w:pPr>
        <w:adjustRightInd/>
        <w:spacing w:line="360" w:lineRule="auto"/>
        <w:ind w:firstLine="480" w:firstLineChars="200"/>
        <w:contextualSpacing/>
        <w:rPr>
          <w:rFonts w:eastAsia="宋体"/>
          <w:snapToGrid w:val="0"/>
        </w:rPr>
      </w:pPr>
      <w:r>
        <w:rPr>
          <w:rFonts w:hint="eastAsia" w:eastAsia="宋体"/>
          <w:snapToGrid w:val="0"/>
        </w:rPr>
        <w:t>传</w:t>
      </w:r>
      <w:r>
        <w:rPr>
          <w:rFonts w:eastAsia="宋体"/>
          <w:snapToGrid w:val="0"/>
        </w:rPr>
        <w:t xml:space="preserve">    </w:t>
      </w:r>
      <w:r>
        <w:rPr>
          <w:rFonts w:hint="eastAsia" w:eastAsia="宋体"/>
          <w:snapToGrid w:val="0"/>
        </w:rPr>
        <w:t xml:space="preserve">  真：</w:t>
      </w:r>
    </w:p>
    <w:p>
      <w:pPr>
        <w:adjustRightInd/>
        <w:spacing w:line="360" w:lineRule="auto"/>
        <w:ind w:firstLine="480" w:firstLineChars="200"/>
        <w:contextualSpacing/>
        <w:rPr>
          <w:rFonts w:eastAsia="宋体"/>
          <w:snapToGrid w:val="0"/>
        </w:rPr>
      </w:pPr>
      <w:r>
        <w:rPr>
          <w:rFonts w:hint="eastAsia" w:ascii="宋体" w:hAnsi="宋体" w:eastAsia="宋体"/>
          <w:snapToGrid w:val="0"/>
        </w:rPr>
        <w:t xml:space="preserve">                               </w:t>
      </w:r>
      <w:r>
        <w:rPr>
          <w:rFonts w:hint="eastAsia" w:eastAsia="宋体"/>
          <w:snapToGrid w:val="0"/>
        </w:rPr>
        <w:t>四川省能投攀枝花水电开发有限公司</w:t>
      </w:r>
    </w:p>
    <w:p>
      <w:pPr>
        <w:adjustRightInd/>
        <w:spacing w:line="360" w:lineRule="auto"/>
        <w:ind w:firstLine="480" w:firstLineChars="200"/>
        <w:contextualSpacing/>
        <w:rPr>
          <w:rFonts w:eastAsia="宋体"/>
          <w:snapToGrid w:val="0"/>
        </w:rPr>
      </w:pPr>
      <w:r>
        <w:rPr>
          <w:rFonts w:eastAsia="宋体"/>
          <w:snapToGrid w:val="0"/>
        </w:rPr>
        <w:t xml:space="preserve">                                                                            2022</w:t>
      </w:r>
      <w:r>
        <w:rPr>
          <w:rFonts w:hint="eastAsia" w:eastAsia="宋体"/>
          <w:snapToGrid w:val="0"/>
        </w:rPr>
        <w:t>年</w:t>
      </w:r>
      <w:r>
        <w:rPr>
          <w:rFonts w:hint="eastAsia" w:eastAsia="宋体"/>
          <w:snapToGrid w:val="0"/>
          <w:lang w:val="en-US" w:eastAsia="zh-CN"/>
        </w:rPr>
        <w:t>2</w:t>
      </w:r>
      <w:r>
        <w:rPr>
          <w:rFonts w:hint="eastAsia" w:eastAsia="宋体"/>
          <w:snapToGrid w:val="0"/>
        </w:rPr>
        <w:t>月</w:t>
      </w:r>
      <w:r>
        <w:rPr>
          <w:rFonts w:hint="eastAsia" w:eastAsia="宋体"/>
          <w:snapToGrid w:val="0"/>
          <w:lang w:val="en-US" w:eastAsia="zh-CN"/>
        </w:rPr>
        <w:t>14</w:t>
      </w:r>
      <w:r>
        <w:rPr>
          <w:rFonts w:hint="eastAsia" w:eastAsia="宋体"/>
          <w:snapToGrid w:val="0"/>
        </w:rPr>
        <w:t>日</w:t>
      </w:r>
    </w:p>
    <w:p>
      <w:pPr>
        <w:adjustRightInd/>
        <w:spacing w:line="360" w:lineRule="auto"/>
        <w:ind w:firstLine="480" w:firstLineChars="200"/>
        <w:contextualSpacing/>
        <w:rPr>
          <w:rFonts w:ascii="宋体" w:hAnsi="宋体" w:eastAsia="宋体"/>
          <w:snapToGrid w:val="0"/>
        </w:rPr>
        <w:sectPr>
          <w:headerReference r:id="rId5" w:type="default"/>
          <w:footerReference r:id="rId6" w:type="default"/>
          <w:pgSz w:w="11907" w:h="16840"/>
          <w:pgMar w:top="1440" w:right="1440" w:bottom="1440" w:left="1440" w:header="851" w:footer="992" w:gutter="0"/>
          <w:pgNumType w:start="1"/>
          <w:cols w:space="720" w:num="1"/>
          <w:docGrid w:linePitch="326" w:charSpace="0"/>
        </w:sectPr>
      </w:pPr>
    </w:p>
    <w:p>
      <w:pPr>
        <w:pStyle w:val="3"/>
        <w:topLinePunct/>
        <w:autoSpaceDE/>
        <w:autoSpaceDN/>
        <w:textAlignment w:val="center"/>
        <w:rPr>
          <w:rFonts w:ascii="宋体" w:hAnsi="宋体" w:eastAsia="宋体"/>
        </w:rPr>
      </w:pPr>
      <w:bookmarkStart w:id="4" w:name="_Toc29923"/>
      <w:r>
        <w:rPr>
          <w:rFonts w:hint="eastAsia" w:ascii="宋体" w:hAnsi="宋体" w:eastAsia="宋体"/>
        </w:rPr>
        <w:t>第二章  投标人须知</w:t>
      </w:r>
      <w:bookmarkEnd w:id="4"/>
    </w:p>
    <w:p>
      <w:pPr>
        <w:spacing w:line="360" w:lineRule="auto"/>
        <w:jc w:val="center"/>
        <w:rPr>
          <w:rFonts w:ascii="宋体" w:hAnsi="宋体"/>
        </w:rPr>
      </w:pPr>
      <w:r>
        <w:rPr>
          <w:rFonts w:hint="eastAsia" w:ascii="宋体" w:hAnsi="宋体" w:eastAsia="宋体"/>
          <w:b/>
        </w:rPr>
        <w:t>投标人须知前附表</w:t>
      </w:r>
    </w:p>
    <w:tbl>
      <w:tblPr>
        <w:tblStyle w:val="4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3"/>
        <w:gridCol w:w="2279"/>
        <w:gridCol w:w="665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tblHeader/>
          <w:jc w:val="center"/>
        </w:trPr>
        <w:tc>
          <w:tcPr>
            <w:tcW w:w="643" w:type="dxa"/>
            <w:vAlign w:val="center"/>
          </w:tcPr>
          <w:p>
            <w:pPr>
              <w:snapToGrid w:val="0"/>
              <w:jc w:val="center"/>
              <w:rPr>
                <w:rFonts w:eastAsia="宋体"/>
                <w:b/>
                <w:sz w:val="21"/>
                <w:szCs w:val="21"/>
              </w:rPr>
            </w:pPr>
            <w:r>
              <w:rPr>
                <w:rFonts w:hAnsi="宋体" w:eastAsia="宋体"/>
                <w:b/>
                <w:sz w:val="21"/>
                <w:szCs w:val="21"/>
              </w:rPr>
              <w:t>序号</w:t>
            </w:r>
          </w:p>
        </w:tc>
        <w:tc>
          <w:tcPr>
            <w:tcW w:w="2279" w:type="dxa"/>
            <w:vAlign w:val="center"/>
          </w:tcPr>
          <w:p>
            <w:pPr>
              <w:snapToGrid w:val="0"/>
              <w:jc w:val="center"/>
              <w:rPr>
                <w:rFonts w:eastAsia="宋体"/>
                <w:b/>
                <w:sz w:val="21"/>
                <w:szCs w:val="21"/>
              </w:rPr>
            </w:pPr>
            <w:r>
              <w:rPr>
                <w:rFonts w:hAnsi="宋体" w:eastAsia="宋体"/>
                <w:b/>
                <w:sz w:val="21"/>
                <w:szCs w:val="21"/>
              </w:rPr>
              <w:t>条款名称</w:t>
            </w:r>
          </w:p>
        </w:tc>
        <w:tc>
          <w:tcPr>
            <w:tcW w:w="6654" w:type="dxa"/>
            <w:vAlign w:val="center"/>
          </w:tcPr>
          <w:p>
            <w:pPr>
              <w:snapToGrid w:val="0"/>
              <w:jc w:val="center"/>
              <w:rPr>
                <w:rFonts w:eastAsia="宋体"/>
                <w:b/>
                <w:sz w:val="21"/>
                <w:szCs w:val="21"/>
              </w:rPr>
            </w:pPr>
            <w:r>
              <w:rPr>
                <w:rFonts w:hAnsi="宋体" w:eastAsia="宋体"/>
                <w:b/>
                <w:sz w:val="21"/>
                <w:szCs w:val="21"/>
              </w:rPr>
              <w:t>说明和要求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1"/>
                <w:szCs w:val="21"/>
              </w:rPr>
            </w:pPr>
            <w:r>
              <w:rPr>
                <w:rFonts w:eastAsia="宋体"/>
                <w:sz w:val="21"/>
                <w:szCs w:val="21"/>
              </w:rPr>
              <w:t>1</w:t>
            </w:r>
          </w:p>
        </w:tc>
        <w:tc>
          <w:tcPr>
            <w:tcW w:w="2279" w:type="dxa"/>
            <w:vAlign w:val="center"/>
          </w:tcPr>
          <w:p>
            <w:pPr>
              <w:snapToGrid w:val="0"/>
              <w:jc w:val="center"/>
              <w:rPr>
                <w:rFonts w:eastAsia="宋体"/>
                <w:sz w:val="21"/>
                <w:szCs w:val="21"/>
              </w:rPr>
            </w:pPr>
            <w:r>
              <w:rPr>
                <w:rFonts w:hAnsi="宋体" w:eastAsia="宋体"/>
                <w:sz w:val="21"/>
                <w:szCs w:val="21"/>
              </w:rPr>
              <w:t>招标人</w:t>
            </w:r>
          </w:p>
        </w:tc>
        <w:tc>
          <w:tcPr>
            <w:tcW w:w="6654" w:type="dxa"/>
            <w:vAlign w:val="center"/>
          </w:tcPr>
          <w:p>
            <w:pPr>
              <w:snapToGrid w:val="0"/>
              <w:rPr>
                <w:rFonts w:eastAsia="宋体"/>
                <w:sz w:val="21"/>
                <w:szCs w:val="21"/>
              </w:rPr>
            </w:pPr>
            <w:r>
              <w:rPr>
                <w:rFonts w:hAnsi="宋体" w:eastAsia="宋体"/>
                <w:sz w:val="21"/>
                <w:szCs w:val="21"/>
              </w:rPr>
              <w:t>名称：</w:t>
            </w:r>
            <w:r>
              <w:rPr>
                <w:rFonts w:hAnsi="宋体" w:eastAsia="宋体"/>
                <w:spacing w:val="1"/>
                <w:sz w:val="21"/>
                <w:szCs w:val="21"/>
              </w:rPr>
              <w:t>四川省能投攀枝花水电开发有限公司</w:t>
            </w:r>
          </w:p>
          <w:p>
            <w:pPr>
              <w:snapToGrid w:val="0"/>
              <w:rPr>
                <w:rFonts w:eastAsia="宋体"/>
                <w:sz w:val="21"/>
                <w:szCs w:val="21"/>
              </w:rPr>
            </w:pPr>
            <w:r>
              <w:rPr>
                <w:rFonts w:hAnsi="宋体" w:eastAsia="宋体"/>
                <w:sz w:val="21"/>
                <w:szCs w:val="21"/>
              </w:rPr>
              <w:t>地址：</w:t>
            </w:r>
            <w:r>
              <w:rPr>
                <w:rFonts w:hAnsi="宋体" w:eastAsia="宋体"/>
                <w:spacing w:val="1"/>
                <w:sz w:val="21"/>
                <w:szCs w:val="21"/>
              </w:rPr>
              <w:t>四川省攀枝花市西区建福巷</w:t>
            </w:r>
            <w:r>
              <w:rPr>
                <w:rFonts w:eastAsia="宋体"/>
                <w:spacing w:val="1"/>
                <w:sz w:val="21"/>
                <w:szCs w:val="21"/>
              </w:rPr>
              <w:t>88</w:t>
            </w:r>
            <w:r>
              <w:rPr>
                <w:rFonts w:hAnsi="宋体" w:eastAsia="宋体"/>
                <w:spacing w:val="1"/>
                <w:sz w:val="21"/>
                <w:szCs w:val="21"/>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1"/>
                <w:szCs w:val="21"/>
              </w:rPr>
            </w:pPr>
            <w:r>
              <w:rPr>
                <w:rFonts w:eastAsia="宋体"/>
                <w:sz w:val="21"/>
                <w:szCs w:val="21"/>
              </w:rPr>
              <w:t>2</w:t>
            </w:r>
          </w:p>
        </w:tc>
        <w:tc>
          <w:tcPr>
            <w:tcW w:w="2279" w:type="dxa"/>
            <w:vAlign w:val="center"/>
          </w:tcPr>
          <w:p>
            <w:pPr>
              <w:snapToGrid w:val="0"/>
              <w:jc w:val="center"/>
              <w:rPr>
                <w:rFonts w:eastAsia="宋体"/>
                <w:sz w:val="21"/>
                <w:szCs w:val="21"/>
              </w:rPr>
            </w:pPr>
            <w:r>
              <w:rPr>
                <w:rFonts w:hAnsi="宋体" w:eastAsia="宋体"/>
                <w:sz w:val="21"/>
                <w:szCs w:val="21"/>
              </w:rPr>
              <w:t>招标项目名称</w:t>
            </w:r>
          </w:p>
        </w:tc>
        <w:tc>
          <w:tcPr>
            <w:tcW w:w="6654" w:type="dxa"/>
            <w:vAlign w:val="center"/>
          </w:tcPr>
          <w:p>
            <w:pPr>
              <w:snapToGrid w:val="0"/>
              <w:rPr>
                <w:rFonts w:eastAsia="宋体"/>
                <w:sz w:val="21"/>
                <w:szCs w:val="21"/>
              </w:rPr>
            </w:pPr>
            <w:r>
              <w:rPr>
                <w:rFonts w:ascii="宋体" w:hAnsi="宋体" w:eastAsia="宋体"/>
                <w:sz w:val="21"/>
                <w:szCs w:val="21"/>
              </w:rPr>
              <w:t>金沙江</w:t>
            </w:r>
            <w:r>
              <w:rPr>
                <w:rFonts w:hint="eastAsia" w:ascii="宋体" w:hAnsi="宋体" w:eastAsia="宋体"/>
                <w:sz w:val="21"/>
                <w:szCs w:val="21"/>
              </w:rPr>
              <w:t>金沙</w:t>
            </w:r>
            <w:r>
              <w:rPr>
                <w:rFonts w:ascii="宋体" w:hAnsi="宋体" w:eastAsia="宋体"/>
                <w:sz w:val="21"/>
                <w:szCs w:val="21"/>
              </w:rPr>
              <w:t>水电站竣工环境保护验收</w:t>
            </w:r>
            <w:r>
              <w:rPr>
                <w:rFonts w:hint="eastAsia" w:ascii="宋体" w:hAnsi="宋体" w:eastAsia="宋体"/>
                <w:sz w:val="21"/>
                <w:szCs w:val="21"/>
              </w:rPr>
              <w:t>及陆生生态调查技术服务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1"/>
                <w:szCs w:val="21"/>
              </w:rPr>
            </w:pPr>
            <w:r>
              <w:rPr>
                <w:rFonts w:eastAsia="宋体"/>
                <w:sz w:val="21"/>
                <w:szCs w:val="21"/>
              </w:rPr>
              <w:t>3</w:t>
            </w:r>
          </w:p>
        </w:tc>
        <w:tc>
          <w:tcPr>
            <w:tcW w:w="2279" w:type="dxa"/>
            <w:vAlign w:val="center"/>
          </w:tcPr>
          <w:p>
            <w:pPr>
              <w:snapToGrid w:val="0"/>
              <w:jc w:val="center"/>
              <w:rPr>
                <w:rFonts w:eastAsia="宋体"/>
                <w:sz w:val="21"/>
                <w:szCs w:val="21"/>
              </w:rPr>
            </w:pPr>
            <w:r>
              <w:rPr>
                <w:rFonts w:hAnsi="宋体" w:eastAsia="宋体"/>
                <w:sz w:val="21"/>
                <w:szCs w:val="21"/>
              </w:rPr>
              <w:t>资金来源</w:t>
            </w:r>
          </w:p>
        </w:tc>
        <w:tc>
          <w:tcPr>
            <w:tcW w:w="6654" w:type="dxa"/>
            <w:vAlign w:val="center"/>
          </w:tcPr>
          <w:p>
            <w:pPr>
              <w:snapToGrid w:val="0"/>
              <w:rPr>
                <w:rFonts w:eastAsia="宋体"/>
                <w:sz w:val="21"/>
                <w:szCs w:val="21"/>
              </w:rPr>
            </w:pPr>
            <w:r>
              <w:rPr>
                <w:rFonts w:hAnsi="宋体" w:eastAsia="宋体"/>
                <w:sz w:val="21"/>
                <w:szCs w:val="21"/>
              </w:rPr>
              <w:t>企业自筹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1"/>
                <w:szCs w:val="21"/>
              </w:rPr>
            </w:pPr>
            <w:r>
              <w:rPr>
                <w:rFonts w:eastAsia="宋体"/>
                <w:sz w:val="21"/>
                <w:szCs w:val="21"/>
              </w:rPr>
              <w:t>4</w:t>
            </w:r>
          </w:p>
        </w:tc>
        <w:tc>
          <w:tcPr>
            <w:tcW w:w="2279" w:type="dxa"/>
            <w:vAlign w:val="center"/>
          </w:tcPr>
          <w:p>
            <w:pPr>
              <w:snapToGrid w:val="0"/>
              <w:jc w:val="center"/>
              <w:rPr>
                <w:rFonts w:eastAsia="宋体"/>
                <w:sz w:val="21"/>
                <w:szCs w:val="21"/>
              </w:rPr>
            </w:pPr>
            <w:r>
              <w:rPr>
                <w:rFonts w:hAnsi="宋体" w:eastAsia="宋体"/>
                <w:sz w:val="21"/>
                <w:szCs w:val="21"/>
              </w:rPr>
              <w:t>招标方式</w:t>
            </w:r>
          </w:p>
        </w:tc>
        <w:tc>
          <w:tcPr>
            <w:tcW w:w="6654" w:type="dxa"/>
            <w:vAlign w:val="center"/>
          </w:tcPr>
          <w:p>
            <w:pPr>
              <w:snapToGrid w:val="0"/>
              <w:rPr>
                <w:rFonts w:eastAsia="宋体"/>
                <w:sz w:val="21"/>
                <w:szCs w:val="21"/>
              </w:rPr>
            </w:pPr>
            <w:r>
              <w:rPr>
                <w:rFonts w:hAnsi="宋体" w:eastAsia="宋体"/>
                <w:sz w:val="21"/>
                <w:szCs w:val="21"/>
              </w:rPr>
              <w:t>公开招标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1"/>
                <w:szCs w:val="21"/>
              </w:rPr>
            </w:pPr>
            <w:r>
              <w:rPr>
                <w:rFonts w:eastAsia="宋体"/>
                <w:sz w:val="21"/>
                <w:szCs w:val="21"/>
              </w:rPr>
              <w:t>5</w:t>
            </w:r>
          </w:p>
        </w:tc>
        <w:tc>
          <w:tcPr>
            <w:tcW w:w="2279" w:type="dxa"/>
            <w:vAlign w:val="center"/>
          </w:tcPr>
          <w:p>
            <w:pPr>
              <w:snapToGrid w:val="0"/>
              <w:jc w:val="center"/>
              <w:rPr>
                <w:rFonts w:eastAsia="宋体"/>
                <w:sz w:val="21"/>
                <w:szCs w:val="21"/>
              </w:rPr>
            </w:pPr>
            <w:r>
              <w:rPr>
                <w:rFonts w:hAnsi="宋体" w:eastAsia="宋体"/>
                <w:sz w:val="21"/>
                <w:szCs w:val="21"/>
              </w:rPr>
              <w:t>服务期限</w:t>
            </w:r>
          </w:p>
        </w:tc>
        <w:tc>
          <w:tcPr>
            <w:tcW w:w="6654" w:type="dxa"/>
            <w:vAlign w:val="center"/>
          </w:tcPr>
          <w:p>
            <w:pPr>
              <w:adjustRightInd/>
              <w:rPr>
                <w:rFonts w:eastAsia="宋体"/>
                <w:sz w:val="21"/>
                <w:szCs w:val="21"/>
              </w:rPr>
            </w:pPr>
            <w:r>
              <w:rPr>
                <w:rFonts w:hAnsi="宋体" w:eastAsia="宋体"/>
                <w:sz w:val="21"/>
                <w:szCs w:val="21"/>
              </w:rPr>
              <w:t>合同签订之日起至金沙水电站竣工环保验收通过验收并完成验收备案。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1"/>
                <w:szCs w:val="21"/>
              </w:rPr>
            </w:pPr>
            <w:r>
              <w:rPr>
                <w:rFonts w:eastAsia="宋体"/>
                <w:sz w:val="21"/>
                <w:szCs w:val="21"/>
              </w:rPr>
              <w:t>6</w:t>
            </w:r>
          </w:p>
        </w:tc>
        <w:tc>
          <w:tcPr>
            <w:tcW w:w="2279" w:type="dxa"/>
            <w:vAlign w:val="center"/>
          </w:tcPr>
          <w:p>
            <w:pPr>
              <w:snapToGrid w:val="0"/>
              <w:jc w:val="center"/>
              <w:rPr>
                <w:rFonts w:eastAsia="宋体"/>
                <w:sz w:val="21"/>
                <w:szCs w:val="21"/>
              </w:rPr>
            </w:pPr>
            <w:r>
              <w:rPr>
                <w:rFonts w:hAnsi="宋体" w:eastAsia="宋体"/>
                <w:sz w:val="21"/>
                <w:szCs w:val="21"/>
              </w:rPr>
              <w:t>质量要求</w:t>
            </w:r>
          </w:p>
        </w:tc>
        <w:tc>
          <w:tcPr>
            <w:tcW w:w="6654" w:type="dxa"/>
            <w:vAlign w:val="center"/>
          </w:tcPr>
          <w:p>
            <w:pPr>
              <w:snapToGrid w:val="0"/>
              <w:rPr>
                <w:rFonts w:eastAsia="宋体"/>
                <w:sz w:val="21"/>
                <w:szCs w:val="21"/>
              </w:rPr>
            </w:pPr>
            <w:r>
              <w:rPr>
                <w:rFonts w:hAnsi="宋体" w:eastAsia="宋体"/>
                <w:sz w:val="21"/>
                <w:szCs w:val="21"/>
              </w:rPr>
              <w:t>合格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1"/>
                <w:szCs w:val="21"/>
              </w:rPr>
            </w:pPr>
            <w:r>
              <w:rPr>
                <w:rFonts w:eastAsia="宋体"/>
                <w:sz w:val="21"/>
                <w:szCs w:val="21"/>
              </w:rPr>
              <w:t>7</w:t>
            </w:r>
          </w:p>
        </w:tc>
        <w:tc>
          <w:tcPr>
            <w:tcW w:w="2279" w:type="dxa"/>
            <w:vAlign w:val="center"/>
          </w:tcPr>
          <w:p>
            <w:pPr>
              <w:snapToGrid w:val="0"/>
              <w:jc w:val="center"/>
              <w:rPr>
                <w:rFonts w:eastAsia="宋体"/>
                <w:sz w:val="21"/>
                <w:szCs w:val="21"/>
              </w:rPr>
            </w:pPr>
            <w:r>
              <w:rPr>
                <w:rFonts w:hAnsi="宋体" w:eastAsia="宋体"/>
                <w:sz w:val="21"/>
                <w:szCs w:val="21"/>
              </w:rPr>
              <w:t>联合体</w:t>
            </w:r>
          </w:p>
        </w:tc>
        <w:tc>
          <w:tcPr>
            <w:tcW w:w="6654" w:type="dxa"/>
            <w:vAlign w:val="center"/>
          </w:tcPr>
          <w:p>
            <w:pPr>
              <w:snapToGrid w:val="0"/>
              <w:rPr>
                <w:rFonts w:eastAsia="宋体"/>
                <w:sz w:val="21"/>
                <w:szCs w:val="21"/>
              </w:rPr>
            </w:pPr>
            <w:r>
              <w:rPr>
                <w:rFonts w:hAnsi="宋体" w:eastAsia="宋体"/>
                <w:sz w:val="21"/>
                <w:szCs w:val="21"/>
              </w:rPr>
              <w:t>不接受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1"/>
                <w:szCs w:val="21"/>
              </w:rPr>
            </w:pPr>
            <w:r>
              <w:rPr>
                <w:rFonts w:eastAsia="宋体"/>
                <w:sz w:val="21"/>
                <w:szCs w:val="21"/>
              </w:rPr>
              <w:t>8</w:t>
            </w:r>
          </w:p>
        </w:tc>
        <w:tc>
          <w:tcPr>
            <w:tcW w:w="2279" w:type="dxa"/>
            <w:vAlign w:val="center"/>
          </w:tcPr>
          <w:p>
            <w:pPr>
              <w:snapToGrid w:val="0"/>
              <w:jc w:val="center"/>
              <w:rPr>
                <w:rFonts w:eastAsia="宋体"/>
                <w:sz w:val="21"/>
                <w:szCs w:val="21"/>
              </w:rPr>
            </w:pPr>
            <w:r>
              <w:rPr>
                <w:rFonts w:hAnsi="宋体" w:eastAsia="宋体"/>
                <w:sz w:val="21"/>
                <w:szCs w:val="21"/>
              </w:rPr>
              <w:t>答疑会</w:t>
            </w:r>
          </w:p>
        </w:tc>
        <w:tc>
          <w:tcPr>
            <w:tcW w:w="6654" w:type="dxa"/>
            <w:vAlign w:val="center"/>
          </w:tcPr>
          <w:p>
            <w:pPr>
              <w:snapToGrid w:val="0"/>
              <w:rPr>
                <w:rFonts w:eastAsia="宋体"/>
                <w:sz w:val="21"/>
                <w:szCs w:val="21"/>
              </w:rPr>
            </w:pPr>
            <w:r>
              <w:rPr>
                <w:rFonts w:hAnsi="宋体" w:eastAsia="宋体"/>
                <w:sz w:val="21"/>
                <w:szCs w:val="21"/>
              </w:rPr>
              <w:t>不召开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1"/>
                <w:szCs w:val="21"/>
              </w:rPr>
            </w:pPr>
            <w:r>
              <w:rPr>
                <w:rFonts w:eastAsia="宋体"/>
                <w:sz w:val="21"/>
                <w:szCs w:val="21"/>
              </w:rPr>
              <w:t>9</w:t>
            </w:r>
          </w:p>
        </w:tc>
        <w:tc>
          <w:tcPr>
            <w:tcW w:w="2279" w:type="dxa"/>
            <w:vAlign w:val="center"/>
          </w:tcPr>
          <w:p>
            <w:pPr>
              <w:snapToGrid w:val="0"/>
              <w:jc w:val="center"/>
              <w:rPr>
                <w:rFonts w:eastAsia="宋体"/>
                <w:sz w:val="21"/>
                <w:szCs w:val="21"/>
              </w:rPr>
            </w:pPr>
            <w:r>
              <w:rPr>
                <w:rFonts w:hAnsi="宋体" w:eastAsia="宋体"/>
                <w:sz w:val="21"/>
                <w:szCs w:val="21"/>
              </w:rPr>
              <w:t>投标人对招标文件提出质疑的时间</w:t>
            </w:r>
          </w:p>
        </w:tc>
        <w:tc>
          <w:tcPr>
            <w:tcW w:w="6654" w:type="dxa"/>
            <w:vAlign w:val="center"/>
          </w:tcPr>
          <w:p>
            <w:pPr>
              <w:snapToGrid w:val="0"/>
              <w:rPr>
                <w:rFonts w:eastAsia="宋体"/>
                <w:sz w:val="21"/>
                <w:szCs w:val="21"/>
              </w:rPr>
            </w:pPr>
            <w:r>
              <w:rPr>
                <w:rFonts w:hAnsi="宋体" w:eastAsia="宋体"/>
                <w:sz w:val="21"/>
                <w:szCs w:val="21"/>
              </w:rPr>
              <w:t>在提交投标文件截止时间</w:t>
            </w:r>
            <w:r>
              <w:rPr>
                <w:rFonts w:eastAsia="宋体"/>
                <w:sz w:val="21"/>
                <w:szCs w:val="21"/>
              </w:rPr>
              <w:t>16</w:t>
            </w:r>
            <w:r>
              <w:rPr>
                <w:rFonts w:hAnsi="宋体" w:eastAsia="宋体"/>
                <w:sz w:val="21"/>
                <w:szCs w:val="21"/>
              </w:rPr>
              <w:t>天前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1"/>
                <w:szCs w:val="21"/>
              </w:rPr>
            </w:pPr>
            <w:r>
              <w:rPr>
                <w:rFonts w:eastAsia="宋体"/>
                <w:sz w:val="21"/>
                <w:szCs w:val="21"/>
              </w:rPr>
              <w:t>10</w:t>
            </w:r>
          </w:p>
        </w:tc>
        <w:tc>
          <w:tcPr>
            <w:tcW w:w="2279" w:type="dxa"/>
            <w:vAlign w:val="center"/>
          </w:tcPr>
          <w:p>
            <w:pPr>
              <w:snapToGrid w:val="0"/>
              <w:jc w:val="center"/>
              <w:rPr>
                <w:rFonts w:eastAsia="宋体"/>
                <w:sz w:val="21"/>
                <w:szCs w:val="21"/>
              </w:rPr>
            </w:pPr>
            <w:r>
              <w:rPr>
                <w:rFonts w:hAnsi="宋体" w:eastAsia="宋体"/>
                <w:sz w:val="21"/>
                <w:szCs w:val="21"/>
              </w:rPr>
              <w:t>分包</w:t>
            </w:r>
          </w:p>
        </w:tc>
        <w:tc>
          <w:tcPr>
            <w:tcW w:w="6654" w:type="dxa"/>
            <w:vAlign w:val="center"/>
          </w:tcPr>
          <w:p>
            <w:pPr>
              <w:snapToGrid w:val="0"/>
              <w:rPr>
                <w:rFonts w:eastAsia="宋体"/>
                <w:sz w:val="21"/>
                <w:szCs w:val="21"/>
              </w:rPr>
            </w:pPr>
            <w:r>
              <w:rPr>
                <w:rFonts w:hAnsi="宋体" w:eastAsia="宋体"/>
                <w:sz w:val="21"/>
                <w:szCs w:val="21"/>
              </w:rPr>
              <w:t>不允许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1"/>
                <w:szCs w:val="21"/>
              </w:rPr>
            </w:pPr>
            <w:r>
              <w:rPr>
                <w:rFonts w:eastAsia="宋体"/>
                <w:sz w:val="21"/>
                <w:szCs w:val="21"/>
              </w:rPr>
              <w:t>11</w:t>
            </w:r>
          </w:p>
        </w:tc>
        <w:tc>
          <w:tcPr>
            <w:tcW w:w="2279" w:type="dxa"/>
            <w:vAlign w:val="center"/>
          </w:tcPr>
          <w:p>
            <w:pPr>
              <w:snapToGrid w:val="0"/>
              <w:jc w:val="center"/>
              <w:rPr>
                <w:rFonts w:eastAsia="宋体"/>
                <w:sz w:val="21"/>
                <w:szCs w:val="21"/>
              </w:rPr>
            </w:pPr>
            <w:r>
              <w:rPr>
                <w:rFonts w:hAnsi="宋体" w:eastAsia="宋体"/>
                <w:sz w:val="21"/>
                <w:szCs w:val="21"/>
              </w:rPr>
              <w:t>构成招标文件的其他文件</w:t>
            </w:r>
          </w:p>
        </w:tc>
        <w:tc>
          <w:tcPr>
            <w:tcW w:w="6654" w:type="dxa"/>
            <w:vAlign w:val="center"/>
          </w:tcPr>
          <w:p>
            <w:pPr>
              <w:snapToGrid w:val="0"/>
              <w:rPr>
                <w:rFonts w:eastAsia="宋体"/>
                <w:sz w:val="21"/>
                <w:szCs w:val="21"/>
              </w:rPr>
            </w:pPr>
            <w:r>
              <w:rPr>
                <w:rFonts w:hAnsi="宋体" w:eastAsia="宋体"/>
                <w:sz w:val="21"/>
                <w:szCs w:val="21"/>
              </w:rPr>
              <w:t>招标文件的澄清、修改书及有关补充通知为招标文件的有效组成部分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1"/>
                <w:szCs w:val="21"/>
              </w:rPr>
            </w:pPr>
            <w:r>
              <w:rPr>
                <w:rFonts w:eastAsia="宋体"/>
                <w:sz w:val="21"/>
                <w:szCs w:val="21"/>
              </w:rPr>
              <w:t>12</w:t>
            </w:r>
          </w:p>
        </w:tc>
        <w:tc>
          <w:tcPr>
            <w:tcW w:w="2279" w:type="dxa"/>
            <w:vAlign w:val="center"/>
          </w:tcPr>
          <w:p>
            <w:pPr>
              <w:snapToGrid w:val="0"/>
              <w:jc w:val="center"/>
              <w:rPr>
                <w:rFonts w:eastAsia="宋体"/>
                <w:sz w:val="21"/>
                <w:szCs w:val="21"/>
              </w:rPr>
            </w:pPr>
            <w:r>
              <w:rPr>
                <w:rFonts w:hAnsi="宋体" w:eastAsia="宋体"/>
                <w:sz w:val="21"/>
                <w:szCs w:val="21"/>
              </w:rPr>
              <w:t>投标有效期</w:t>
            </w:r>
          </w:p>
        </w:tc>
        <w:tc>
          <w:tcPr>
            <w:tcW w:w="6654" w:type="dxa"/>
            <w:vAlign w:val="center"/>
          </w:tcPr>
          <w:p>
            <w:pPr>
              <w:snapToGrid w:val="0"/>
              <w:rPr>
                <w:rFonts w:eastAsia="宋体"/>
                <w:sz w:val="21"/>
                <w:szCs w:val="21"/>
              </w:rPr>
            </w:pPr>
            <w:r>
              <w:rPr>
                <w:rFonts w:hAnsi="宋体" w:eastAsia="宋体"/>
                <w:sz w:val="21"/>
                <w:szCs w:val="21"/>
              </w:rPr>
              <w:t>招标截止日期后</w:t>
            </w:r>
            <w:r>
              <w:rPr>
                <w:rFonts w:eastAsia="宋体"/>
                <w:sz w:val="21"/>
                <w:szCs w:val="21"/>
                <w:u w:val="single"/>
              </w:rPr>
              <w:t xml:space="preserve"> </w:t>
            </w:r>
            <w:r>
              <w:rPr>
                <w:rFonts w:hint="eastAsia" w:eastAsia="宋体"/>
                <w:sz w:val="21"/>
                <w:szCs w:val="21"/>
                <w:u w:val="single"/>
              </w:rPr>
              <w:t>6</w:t>
            </w:r>
            <w:r>
              <w:rPr>
                <w:rFonts w:eastAsia="宋体"/>
                <w:sz w:val="21"/>
                <w:szCs w:val="21"/>
                <w:u w:val="single"/>
              </w:rPr>
              <w:t>0</w:t>
            </w:r>
            <w:r>
              <w:rPr>
                <w:rFonts w:hAnsi="宋体" w:eastAsia="宋体"/>
                <w:sz w:val="21"/>
                <w:szCs w:val="21"/>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1"/>
                <w:szCs w:val="21"/>
              </w:rPr>
            </w:pPr>
            <w:r>
              <w:rPr>
                <w:rFonts w:eastAsia="宋体"/>
                <w:sz w:val="21"/>
                <w:szCs w:val="21"/>
              </w:rPr>
              <w:t>13</w:t>
            </w:r>
          </w:p>
        </w:tc>
        <w:tc>
          <w:tcPr>
            <w:tcW w:w="2279" w:type="dxa"/>
            <w:vAlign w:val="center"/>
          </w:tcPr>
          <w:p>
            <w:pPr>
              <w:snapToGrid w:val="0"/>
              <w:jc w:val="center"/>
              <w:rPr>
                <w:rFonts w:eastAsia="宋体"/>
                <w:sz w:val="21"/>
                <w:szCs w:val="21"/>
              </w:rPr>
            </w:pPr>
            <w:r>
              <w:rPr>
                <w:rFonts w:hAnsi="宋体" w:eastAsia="宋体"/>
                <w:sz w:val="21"/>
                <w:szCs w:val="21"/>
              </w:rPr>
              <w:t>签字盖章</w:t>
            </w:r>
          </w:p>
        </w:tc>
        <w:tc>
          <w:tcPr>
            <w:tcW w:w="6654" w:type="dxa"/>
            <w:vAlign w:val="center"/>
          </w:tcPr>
          <w:p>
            <w:pPr>
              <w:autoSpaceDE/>
              <w:autoSpaceDN/>
              <w:snapToGrid w:val="0"/>
              <w:rPr>
                <w:rFonts w:eastAsia="宋体"/>
                <w:kern w:val="2"/>
                <w:sz w:val="21"/>
                <w:szCs w:val="21"/>
              </w:rPr>
            </w:pPr>
            <w:r>
              <w:rPr>
                <w:rFonts w:hAnsi="宋体" w:eastAsia="宋体"/>
                <w:kern w:val="2"/>
                <w:sz w:val="21"/>
                <w:szCs w:val="21"/>
              </w:rPr>
              <w:t>（</w:t>
            </w:r>
            <w:r>
              <w:rPr>
                <w:rFonts w:eastAsia="宋体"/>
                <w:kern w:val="2"/>
                <w:sz w:val="21"/>
                <w:szCs w:val="21"/>
              </w:rPr>
              <w:t>1</w:t>
            </w:r>
            <w:r>
              <w:rPr>
                <w:rFonts w:hAnsi="宋体" w:eastAsia="宋体"/>
                <w:kern w:val="2"/>
                <w:sz w:val="21"/>
                <w:szCs w:val="21"/>
              </w:rPr>
              <w:t>）所有要求签字的地方都应用不褪色的墨水或签字笔由本人亲笔手写签字</w:t>
            </w:r>
            <w:r>
              <w:rPr>
                <w:rFonts w:eastAsia="宋体"/>
                <w:kern w:val="2"/>
                <w:sz w:val="21"/>
                <w:szCs w:val="21"/>
              </w:rPr>
              <w:t>(</w:t>
            </w:r>
            <w:r>
              <w:rPr>
                <w:rFonts w:hAnsi="宋体" w:eastAsia="宋体"/>
                <w:kern w:val="2"/>
                <w:sz w:val="21"/>
                <w:szCs w:val="21"/>
              </w:rPr>
              <w:t>包括姓和名</w:t>
            </w:r>
            <w:r>
              <w:rPr>
                <w:rFonts w:eastAsia="宋体"/>
                <w:kern w:val="2"/>
                <w:sz w:val="21"/>
                <w:szCs w:val="21"/>
              </w:rPr>
              <w:t>)</w:t>
            </w:r>
            <w:r>
              <w:rPr>
                <w:rFonts w:hAnsi="宋体" w:eastAsia="宋体"/>
                <w:kern w:val="2"/>
                <w:sz w:val="21"/>
                <w:szCs w:val="21"/>
              </w:rPr>
              <w:t>，不得用盖章（如签名章、签字章等）代替，也不得由他人代签。</w:t>
            </w:r>
          </w:p>
          <w:p>
            <w:pPr>
              <w:autoSpaceDE/>
              <w:autoSpaceDN/>
              <w:snapToGrid w:val="0"/>
              <w:rPr>
                <w:rFonts w:eastAsia="宋体"/>
                <w:kern w:val="2"/>
                <w:sz w:val="21"/>
                <w:szCs w:val="21"/>
              </w:rPr>
            </w:pPr>
            <w:r>
              <w:rPr>
                <w:rFonts w:hAnsi="宋体" w:eastAsia="宋体"/>
                <w:kern w:val="2"/>
                <w:sz w:val="21"/>
                <w:szCs w:val="21"/>
              </w:rPr>
              <w:t>（</w:t>
            </w:r>
            <w:r>
              <w:rPr>
                <w:rFonts w:eastAsia="宋体"/>
                <w:kern w:val="2"/>
                <w:sz w:val="21"/>
                <w:szCs w:val="21"/>
              </w:rPr>
              <w:t>2</w:t>
            </w:r>
            <w:r>
              <w:rPr>
                <w:rFonts w:hAnsi="宋体" w:eastAsia="宋体"/>
                <w:kern w:val="2"/>
                <w:sz w:val="21"/>
                <w:szCs w:val="21"/>
              </w:rPr>
              <w:t>）所有要求盖章的地方都应加盖投标人单位（法定名称）章（鲜章）</w:t>
            </w:r>
            <w:r>
              <w:rPr>
                <w:rFonts w:eastAsia="宋体"/>
                <w:kern w:val="2"/>
                <w:sz w:val="21"/>
                <w:szCs w:val="21"/>
              </w:rPr>
              <w:t>,</w:t>
            </w:r>
            <w:r>
              <w:rPr>
                <w:rFonts w:hAnsi="宋体" w:eastAsia="宋体"/>
                <w:kern w:val="2"/>
                <w:sz w:val="21"/>
                <w:szCs w:val="21"/>
              </w:rPr>
              <w:t>不得使用专用印章（如经济合同章、投标专用章等）或下属单位印章代替。投标工程量清单需全部盖鲜章。</w:t>
            </w:r>
          </w:p>
          <w:p>
            <w:pPr>
              <w:snapToGrid w:val="0"/>
              <w:rPr>
                <w:rFonts w:eastAsia="宋体"/>
                <w:sz w:val="21"/>
                <w:szCs w:val="21"/>
              </w:rPr>
            </w:pPr>
            <w:r>
              <w:rPr>
                <w:rFonts w:hAnsi="宋体" w:eastAsia="宋体"/>
                <w:kern w:val="2"/>
                <w:sz w:val="21"/>
                <w:szCs w:val="21"/>
              </w:rPr>
              <w:t>（</w:t>
            </w:r>
            <w:r>
              <w:rPr>
                <w:rFonts w:eastAsia="宋体"/>
                <w:kern w:val="2"/>
                <w:sz w:val="21"/>
                <w:szCs w:val="21"/>
              </w:rPr>
              <w:t>3</w:t>
            </w:r>
            <w:r>
              <w:rPr>
                <w:rFonts w:hAnsi="宋体" w:eastAsia="宋体"/>
                <w:kern w:val="2"/>
                <w:sz w:val="21"/>
                <w:szCs w:val="21"/>
              </w:rPr>
              <w:t>）投标文件格式中要求投标人</w:t>
            </w:r>
            <w:r>
              <w:rPr>
                <w:rFonts w:eastAsia="宋体"/>
                <w:kern w:val="2"/>
                <w:sz w:val="21"/>
                <w:szCs w:val="21"/>
              </w:rPr>
              <w:t>“</w:t>
            </w:r>
            <w:r>
              <w:rPr>
                <w:rFonts w:hAnsi="宋体" w:eastAsia="宋体"/>
                <w:kern w:val="2"/>
                <w:sz w:val="21"/>
                <w:szCs w:val="21"/>
              </w:rPr>
              <w:t>法定代表人或其委托代理人</w:t>
            </w:r>
            <w:r>
              <w:rPr>
                <w:rFonts w:eastAsia="宋体"/>
                <w:kern w:val="2"/>
                <w:sz w:val="21"/>
                <w:szCs w:val="21"/>
              </w:rPr>
              <w:t>”</w:t>
            </w:r>
            <w:r>
              <w:rPr>
                <w:rFonts w:hAnsi="宋体" w:eastAsia="宋体"/>
                <w:kern w:val="2"/>
                <w:sz w:val="21"/>
                <w:szCs w:val="21"/>
              </w:rPr>
              <w:t>签字的，如法定代表人亲自投标而不委托代理人投标，由法定代表人签字；如法定代表人授权委托代理人投标，由委托代理人签字，也可由法定代表人签字。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1"/>
                <w:szCs w:val="21"/>
              </w:rPr>
            </w:pPr>
            <w:r>
              <w:rPr>
                <w:rFonts w:eastAsia="宋体"/>
                <w:sz w:val="21"/>
                <w:szCs w:val="21"/>
              </w:rPr>
              <w:t>14</w:t>
            </w:r>
          </w:p>
        </w:tc>
        <w:tc>
          <w:tcPr>
            <w:tcW w:w="2279" w:type="dxa"/>
            <w:vAlign w:val="center"/>
          </w:tcPr>
          <w:p>
            <w:pPr>
              <w:snapToGrid w:val="0"/>
              <w:jc w:val="center"/>
              <w:rPr>
                <w:rFonts w:eastAsia="宋体"/>
                <w:sz w:val="21"/>
                <w:szCs w:val="21"/>
              </w:rPr>
            </w:pPr>
            <w:r>
              <w:rPr>
                <w:rFonts w:hAnsi="宋体" w:eastAsia="宋体"/>
                <w:sz w:val="21"/>
                <w:szCs w:val="21"/>
              </w:rPr>
              <w:t>投标文件份数</w:t>
            </w:r>
          </w:p>
        </w:tc>
        <w:tc>
          <w:tcPr>
            <w:tcW w:w="6654" w:type="dxa"/>
            <w:vAlign w:val="center"/>
          </w:tcPr>
          <w:p>
            <w:pPr>
              <w:snapToGrid w:val="0"/>
              <w:rPr>
                <w:rFonts w:eastAsia="宋体"/>
                <w:color w:val="FF0000"/>
                <w:sz w:val="21"/>
                <w:szCs w:val="21"/>
              </w:rPr>
            </w:pPr>
            <w:r>
              <w:rPr>
                <w:rFonts w:hAnsi="宋体" w:eastAsia="宋体"/>
                <w:sz w:val="21"/>
                <w:szCs w:val="21"/>
              </w:rPr>
              <w:t>正本</w:t>
            </w:r>
            <w:r>
              <w:rPr>
                <w:rFonts w:eastAsia="宋体"/>
                <w:sz w:val="21"/>
                <w:szCs w:val="21"/>
                <w:u w:val="single"/>
              </w:rPr>
              <w:t>1</w:t>
            </w:r>
            <w:r>
              <w:rPr>
                <w:rFonts w:hAnsi="宋体" w:eastAsia="宋体"/>
                <w:sz w:val="21"/>
                <w:szCs w:val="21"/>
              </w:rPr>
              <w:t>份；副本</w:t>
            </w:r>
            <w:r>
              <w:rPr>
                <w:rFonts w:eastAsia="宋体"/>
                <w:sz w:val="21"/>
                <w:szCs w:val="21"/>
                <w:u w:val="single"/>
              </w:rPr>
              <w:t xml:space="preserve"> 2 </w:t>
            </w:r>
            <w:r>
              <w:rPr>
                <w:rFonts w:hAnsi="宋体" w:eastAsia="宋体"/>
                <w:sz w:val="21"/>
                <w:szCs w:val="21"/>
              </w:rPr>
              <w:t>份；装有投标文件电子文档及正本扫描件的</w:t>
            </w:r>
            <w:r>
              <w:rPr>
                <w:rFonts w:eastAsia="宋体"/>
                <w:sz w:val="21"/>
                <w:szCs w:val="21"/>
                <w:u w:val="single"/>
              </w:rPr>
              <w:t>U</w:t>
            </w:r>
            <w:r>
              <w:rPr>
                <w:rFonts w:hAnsi="宋体" w:eastAsia="宋体"/>
                <w:sz w:val="21"/>
                <w:szCs w:val="21"/>
              </w:rPr>
              <w:t>盘一份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1"/>
                <w:szCs w:val="21"/>
              </w:rPr>
            </w:pPr>
            <w:r>
              <w:rPr>
                <w:rFonts w:eastAsia="宋体"/>
                <w:sz w:val="21"/>
                <w:szCs w:val="21"/>
              </w:rPr>
              <w:t>15</w:t>
            </w:r>
          </w:p>
        </w:tc>
        <w:tc>
          <w:tcPr>
            <w:tcW w:w="2279" w:type="dxa"/>
            <w:vAlign w:val="center"/>
          </w:tcPr>
          <w:p>
            <w:pPr>
              <w:snapToGrid w:val="0"/>
              <w:jc w:val="center"/>
              <w:rPr>
                <w:rFonts w:eastAsia="宋体"/>
                <w:sz w:val="21"/>
                <w:szCs w:val="21"/>
              </w:rPr>
            </w:pPr>
            <w:r>
              <w:rPr>
                <w:rFonts w:hAnsi="宋体" w:eastAsia="宋体"/>
                <w:sz w:val="21"/>
                <w:szCs w:val="21"/>
              </w:rPr>
              <w:t>投标文件封面的标注</w:t>
            </w:r>
          </w:p>
        </w:tc>
        <w:tc>
          <w:tcPr>
            <w:tcW w:w="6654" w:type="dxa"/>
            <w:vAlign w:val="center"/>
          </w:tcPr>
          <w:p>
            <w:pPr>
              <w:snapToGrid w:val="0"/>
              <w:rPr>
                <w:rFonts w:eastAsia="宋体"/>
                <w:sz w:val="21"/>
                <w:szCs w:val="21"/>
              </w:rPr>
            </w:pPr>
            <w:r>
              <w:rPr>
                <w:rFonts w:hAnsi="宋体" w:eastAsia="宋体"/>
                <w:sz w:val="21"/>
                <w:szCs w:val="21"/>
              </w:rPr>
              <w:t>投标文件正本和副本的封面上均应标明：招标项目名称、标段号</w:t>
            </w:r>
            <w:r>
              <w:rPr>
                <w:rFonts w:eastAsia="宋体"/>
                <w:sz w:val="21"/>
                <w:szCs w:val="21"/>
              </w:rPr>
              <w:t>(</w:t>
            </w:r>
            <w:r>
              <w:rPr>
                <w:rFonts w:hAnsi="宋体" w:eastAsia="宋体"/>
                <w:sz w:val="21"/>
                <w:szCs w:val="21"/>
              </w:rPr>
              <w:t>如涉及则标明</w:t>
            </w:r>
            <w:r>
              <w:rPr>
                <w:rFonts w:eastAsia="宋体"/>
                <w:sz w:val="21"/>
                <w:szCs w:val="21"/>
              </w:rPr>
              <w:t>)</w:t>
            </w:r>
            <w:r>
              <w:rPr>
                <w:rFonts w:hAnsi="宋体" w:eastAsia="宋体"/>
                <w:sz w:val="21"/>
                <w:szCs w:val="21"/>
              </w:rPr>
              <w:t>、投标人名称、年月日；并分别在右上角标明</w:t>
            </w:r>
            <w:r>
              <w:rPr>
                <w:rFonts w:eastAsia="宋体"/>
                <w:sz w:val="21"/>
                <w:szCs w:val="21"/>
              </w:rPr>
              <w:t>“</w:t>
            </w:r>
            <w:r>
              <w:rPr>
                <w:rFonts w:hAnsi="宋体" w:eastAsia="宋体"/>
                <w:sz w:val="21"/>
                <w:szCs w:val="21"/>
              </w:rPr>
              <w:t>正本</w:t>
            </w:r>
            <w:r>
              <w:rPr>
                <w:rFonts w:eastAsia="宋体"/>
                <w:sz w:val="21"/>
                <w:szCs w:val="21"/>
              </w:rPr>
              <w:t>”</w:t>
            </w:r>
            <w:r>
              <w:rPr>
                <w:rFonts w:hAnsi="宋体" w:eastAsia="宋体"/>
                <w:sz w:val="21"/>
                <w:szCs w:val="21"/>
              </w:rPr>
              <w:t>和</w:t>
            </w:r>
            <w:r>
              <w:rPr>
                <w:rFonts w:eastAsia="宋体"/>
                <w:sz w:val="21"/>
                <w:szCs w:val="21"/>
              </w:rPr>
              <w:t>“</w:t>
            </w:r>
            <w:r>
              <w:rPr>
                <w:rFonts w:hAnsi="宋体" w:eastAsia="宋体"/>
                <w:sz w:val="21"/>
                <w:szCs w:val="21"/>
              </w:rPr>
              <w:t>副本</w:t>
            </w:r>
            <w:r>
              <w:rPr>
                <w:rFonts w:eastAsia="宋体"/>
                <w:sz w:val="21"/>
                <w:szCs w:val="21"/>
              </w:rPr>
              <w:t>”</w:t>
            </w:r>
            <w:r>
              <w:rPr>
                <w:rFonts w:hAnsi="宋体" w:eastAsia="宋体"/>
                <w:sz w:val="21"/>
                <w:szCs w:val="21"/>
              </w:rPr>
              <w:t>字样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1"/>
                <w:szCs w:val="21"/>
              </w:rPr>
            </w:pPr>
            <w:r>
              <w:rPr>
                <w:rFonts w:eastAsia="宋体"/>
                <w:sz w:val="21"/>
                <w:szCs w:val="21"/>
              </w:rPr>
              <w:t>16</w:t>
            </w:r>
          </w:p>
        </w:tc>
        <w:tc>
          <w:tcPr>
            <w:tcW w:w="2279" w:type="dxa"/>
            <w:vAlign w:val="center"/>
          </w:tcPr>
          <w:p>
            <w:pPr>
              <w:snapToGrid w:val="0"/>
              <w:jc w:val="center"/>
              <w:rPr>
                <w:rFonts w:eastAsia="宋体"/>
                <w:sz w:val="21"/>
                <w:szCs w:val="21"/>
              </w:rPr>
            </w:pPr>
            <w:r>
              <w:rPr>
                <w:rFonts w:hAnsi="宋体" w:eastAsia="宋体"/>
                <w:sz w:val="21"/>
                <w:szCs w:val="21"/>
              </w:rPr>
              <w:t>投标文件外层</w:t>
            </w:r>
          </w:p>
          <w:p>
            <w:pPr>
              <w:snapToGrid w:val="0"/>
              <w:jc w:val="center"/>
              <w:rPr>
                <w:rFonts w:eastAsia="宋体"/>
                <w:sz w:val="21"/>
                <w:szCs w:val="21"/>
              </w:rPr>
            </w:pPr>
            <w:r>
              <w:rPr>
                <w:rFonts w:hAnsi="宋体" w:eastAsia="宋体"/>
                <w:sz w:val="21"/>
                <w:szCs w:val="21"/>
              </w:rPr>
              <w:t>密封袋的标注</w:t>
            </w:r>
          </w:p>
        </w:tc>
        <w:tc>
          <w:tcPr>
            <w:tcW w:w="6654" w:type="dxa"/>
            <w:vAlign w:val="center"/>
          </w:tcPr>
          <w:p>
            <w:pPr>
              <w:snapToGrid w:val="0"/>
              <w:rPr>
                <w:rFonts w:eastAsia="宋体"/>
                <w:sz w:val="21"/>
                <w:szCs w:val="21"/>
              </w:rPr>
            </w:pPr>
            <w:r>
              <w:rPr>
                <w:rFonts w:hAnsi="宋体" w:eastAsia="宋体"/>
                <w:sz w:val="21"/>
                <w:szCs w:val="21"/>
              </w:rPr>
              <w:t>招标项目名称、标段号</w:t>
            </w:r>
            <w:r>
              <w:rPr>
                <w:rFonts w:eastAsia="宋体"/>
                <w:sz w:val="21"/>
                <w:szCs w:val="21"/>
              </w:rPr>
              <w:t>(</w:t>
            </w:r>
            <w:r>
              <w:rPr>
                <w:rFonts w:hAnsi="宋体" w:eastAsia="宋体"/>
                <w:sz w:val="21"/>
                <w:szCs w:val="21"/>
              </w:rPr>
              <w:t>如涉及则标明</w:t>
            </w:r>
            <w:r>
              <w:rPr>
                <w:rFonts w:eastAsia="宋体"/>
                <w:sz w:val="21"/>
                <w:szCs w:val="21"/>
              </w:rPr>
              <w:t>)</w:t>
            </w:r>
            <w:r>
              <w:rPr>
                <w:rFonts w:hAnsi="宋体" w:eastAsia="宋体"/>
                <w:sz w:val="21"/>
                <w:szCs w:val="21"/>
              </w:rPr>
              <w:t>、投标人名称、年月日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1"/>
                <w:szCs w:val="21"/>
              </w:rPr>
            </w:pPr>
            <w:r>
              <w:rPr>
                <w:rFonts w:eastAsia="宋体"/>
                <w:sz w:val="21"/>
                <w:szCs w:val="21"/>
              </w:rPr>
              <w:t>17</w:t>
            </w:r>
          </w:p>
        </w:tc>
        <w:tc>
          <w:tcPr>
            <w:tcW w:w="2279" w:type="dxa"/>
            <w:vAlign w:val="center"/>
          </w:tcPr>
          <w:p>
            <w:pPr>
              <w:snapToGrid w:val="0"/>
              <w:jc w:val="center"/>
              <w:rPr>
                <w:rFonts w:eastAsia="宋体"/>
                <w:sz w:val="21"/>
                <w:szCs w:val="21"/>
              </w:rPr>
            </w:pPr>
            <w:r>
              <w:rPr>
                <w:rFonts w:hAnsi="宋体" w:eastAsia="宋体"/>
                <w:sz w:val="21"/>
                <w:szCs w:val="21"/>
              </w:rPr>
              <w:t>是否授权评审委员会直接确定中标人</w:t>
            </w:r>
          </w:p>
        </w:tc>
        <w:tc>
          <w:tcPr>
            <w:tcW w:w="6654" w:type="dxa"/>
            <w:vAlign w:val="center"/>
          </w:tcPr>
          <w:p>
            <w:pPr>
              <w:snapToGrid w:val="0"/>
              <w:rPr>
                <w:rFonts w:eastAsia="宋体"/>
                <w:sz w:val="21"/>
                <w:szCs w:val="21"/>
              </w:rPr>
            </w:pPr>
            <w:r>
              <w:rPr>
                <w:rFonts w:hAnsi="宋体" w:eastAsia="宋体"/>
                <w:sz w:val="21"/>
                <w:szCs w:val="21"/>
              </w:rPr>
              <w:t>否，推荐中标候选人的数量：</w:t>
            </w:r>
            <w:r>
              <w:rPr>
                <w:rFonts w:eastAsia="宋体"/>
                <w:sz w:val="21"/>
                <w:szCs w:val="21"/>
                <w:u w:val="single"/>
              </w:rPr>
              <w:t xml:space="preserve"> 1</w:t>
            </w:r>
            <w:r>
              <w:rPr>
                <w:rFonts w:hAnsi="宋体" w:eastAsia="宋体"/>
                <w:sz w:val="21"/>
                <w:szCs w:val="21"/>
                <w:u w:val="single"/>
              </w:rPr>
              <w:t>～</w:t>
            </w:r>
            <w:r>
              <w:rPr>
                <w:rFonts w:eastAsia="宋体"/>
                <w:sz w:val="21"/>
                <w:szCs w:val="21"/>
                <w:u w:val="single"/>
              </w:rPr>
              <w:t xml:space="preserve">3 </w:t>
            </w:r>
            <w:r>
              <w:rPr>
                <w:rFonts w:hAnsi="宋体" w:eastAsia="宋体"/>
                <w:sz w:val="21"/>
                <w:szCs w:val="21"/>
              </w:rPr>
              <w:t>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1"/>
                <w:szCs w:val="21"/>
              </w:rPr>
            </w:pPr>
            <w:r>
              <w:rPr>
                <w:rFonts w:eastAsia="宋体"/>
                <w:sz w:val="21"/>
                <w:szCs w:val="21"/>
              </w:rPr>
              <w:t>18</w:t>
            </w:r>
          </w:p>
        </w:tc>
        <w:tc>
          <w:tcPr>
            <w:tcW w:w="2279" w:type="dxa"/>
            <w:vAlign w:val="center"/>
          </w:tcPr>
          <w:p>
            <w:pPr>
              <w:snapToGrid w:val="0"/>
              <w:jc w:val="center"/>
              <w:rPr>
                <w:rFonts w:eastAsia="宋体"/>
                <w:sz w:val="21"/>
                <w:szCs w:val="21"/>
              </w:rPr>
            </w:pPr>
            <w:r>
              <w:rPr>
                <w:rFonts w:hAnsi="宋体" w:eastAsia="宋体"/>
                <w:sz w:val="21"/>
                <w:szCs w:val="21"/>
              </w:rPr>
              <w:t>投标保证金</w:t>
            </w:r>
          </w:p>
        </w:tc>
        <w:tc>
          <w:tcPr>
            <w:tcW w:w="6654" w:type="dxa"/>
            <w:vAlign w:val="center"/>
          </w:tcPr>
          <w:p>
            <w:pPr>
              <w:snapToGrid w:val="0"/>
              <w:rPr>
                <w:rFonts w:eastAsia="宋体"/>
                <w:sz w:val="21"/>
                <w:szCs w:val="21"/>
              </w:rPr>
            </w:pPr>
            <w:r>
              <w:rPr>
                <w:rFonts w:hAnsi="宋体" w:eastAsia="宋体"/>
                <w:sz w:val="21"/>
                <w:szCs w:val="21"/>
              </w:rPr>
              <w:t>本项目不需要投标保证金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1"/>
                <w:szCs w:val="21"/>
              </w:rPr>
            </w:pPr>
            <w:r>
              <w:rPr>
                <w:rFonts w:eastAsia="宋体"/>
                <w:sz w:val="21"/>
                <w:szCs w:val="21"/>
              </w:rPr>
              <w:t>19</w:t>
            </w:r>
          </w:p>
        </w:tc>
        <w:tc>
          <w:tcPr>
            <w:tcW w:w="2279" w:type="dxa"/>
            <w:vAlign w:val="center"/>
          </w:tcPr>
          <w:p>
            <w:pPr>
              <w:snapToGrid w:val="0"/>
              <w:jc w:val="center"/>
              <w:rPr>
                <w:rFonts w:eastAsia="宋体"/>
                <w:sz w:val="21"/>
                <w:szCs w:val="21"/>
              </w:rPr>
            </w:pPr>
            <w:r>
              <w:rPr>
                <w:rFonts w:hAnsi="宋体" w:eastAsia="宋体"/>
                <w:sz w:val="21"/>
                <w:szCs w:val="21"/>
              </w:rPr>
              <w:t>投标限制价</w:t>
            </w:r>
          </w:p>
        </w:tc>
        <w:tc>
          <w:tcPr>
            <w:tcW w:w="6654" w:type="dxa"/>
            <w:vAlign w:val="center"/>
          </w:tcPr>
          <w:p>
            <w:pPr>
              <w:snapToGrid w:val="0"/>
              <w:rPr>
                <w:rFonts w:hint="default" w:eastAsia="宋体"/>
                <w:sz w:val="21"/>
                <w:szCs w:val="21"/>
                <w:lang w:val="en-US" w:eastAsia="zh-CN"/>
              </w:rPr>
            </w:pPr>
            <w:r>
              <w:rPr>
                <w:rFonts w:hint="eastAsia" w:eastAsia="宋体"/>
                <w:sz w:val="21"/>
                <w:szCs w:val="21"/>
                <w:lang w:val="en-US" w:eastAsia="zh-CN"/>
              </w:rPr>
              <w:t>960000.00元</w:t>
            </w:r>
          </w:p>
        </w:tc>
      </w:tr>
    </w:tbl>
    <w:p>
      <w:pPr>
        <w:topLinePunct/>
        <w:autoSpaceDE/>
        <w:autoSpaceDN/>
        <w:rPr>
          <w:rFonts w:ascii="宋体" w:hAnsi="宋体" w:eastAsia="宋体" w:cs="Arial"/>
        </w:rPr>
      </w:pPr>
    </w:p>
    <w:p>
      <w:pPr>
        <w:topLinePunct/>
        <w:autoSpaceDE/>
        <w:autoSpaceDN/>
        <w:rPr>
          <w:rFonts w:ascii="宋体" w:hAnsi="宋体" w:eastAsia="宋体" w:cs="Arial"/>
        </w:rPr>
      </w:pPr>
    </w:p>
    <w:p>
      <w:pPr>
        <w:topLinePunct/>
        <w:autoSpaceDE/>
        <w:autoSpaceDN/>
        <w:snapToGrid w:val="0"/>
        <w:spacing w:line="360" w:lineRule="auto"/>
        <w:ind w:firstLine="480" w:firstLineChars="200"/>
        <w:jc w:val="both"/>
        <w:textAlignment w:val="center"/>
        <w:rPr>
          <w:rFonts w:ascii="宋体" w:hAnsi="宋体" w:eastAsia="宋体"/>
        </w:rPr>
      </w:pPr>
    </w:p>
    <w:p>
      <w:pPr>
        <w:pStyle w:val="4"/>
        <w:textAlignment w:val="center"/>
        <w:rPr>
          <w:rFonts w:ascii="宋体" w:hAnsi="宋体"/>
        </w:rPr>
        <w:sectPr>
          <w:pgSz w:w="11907" w:h="16840"/>
          <w:pgMar w:top="1440" w:right="1440" w:bottom="1440" w:left="1440" w:header="851" w:footer="992" w:gutter="0"/>
          <w:cols w:space="720" w:num="1"/>
          <w:docGrid w:linePitch="326" w:charSpace="0"/>
        </w:sectPr>
      </w:pPr>
    </w:p>
    <w:p>
      <w:pPr>
        <w:pStyle w:val="5"/>
        <w:tabs>
          <w:tab w:val="left" w:pos="4573"/>
        </w:tabs>
        <w:ind w:firstLine="480"/>
        <w:jc w:val="left"/>
        <w:rPr>
          <w:rFonts w:ascii="Times New Roman" w:hAnsi="Times New Roman" w:cs="Times New Roman"/>
          <w:b w:val="0"/>
          <w:szCs w:val="24"/>
        </w:rPr>
      </w:pPr>
      <w:r>
        <w:rPr>
          <w:rFonts w:ascii="Times New Roman" w:hAnsi="Times New Roman" w:cs="Times New Roman"/>
          <w:b w:val="0"/>
          <w:szCs w:val="24"/>
        </w:rPr>
        <w:t xml:space="preserve">1. </w:t>
      </w:r>
      <w:r>
        <w:rPr>
          <w:rFonts w:ascii="Times New Roman" w:hAnsi="宋体" w:cs="Times New Roman"/>
          <w:b w:val="0"/>
          <w:szCs w:val="24"/>
        </w:rPr>
        <w:t>适用范围</w:t>
      </w:r>
    </w:p>
    <w:p>
      <w:pPr>
        <w:tabs>
          <w:tab w:val="left" w:pos="7665"/>
        </w:tabs>
        <w:snapToGrid w:val="0"/>
        <w:spacing w:line="360" w:lineRule="auto"/>
        <w:ind w:firstLine="480" w:firstLineChars="200"/>
        <w:rPr>
          <w:rFonts w:eastAsia="宋体"/>
        </w:rPr>
      </w:pPr>
      <w:r>
        <w:rPr>
          <w:rFonts w:eastAsia="宋体"/>
        </w:rPr>
        <w:t xml:space="preserve">1.1 </w:t>
      </w:r>
      <w:r>
        <w:rPr>
          <w:rFonts w:hAnsi="宋体" w:eastAsia="宋体"/>
        </w:rPr>
        <w:t>本招标文件仅适用于本次招标所叙述的项目招标。</w:t>
      </w:r>
    </w:p>
    <w:p>
      <w:pPr>
        <w:pStyle w:val="5"/>
        <w:tabs>
          <w:tab w:val="left" w:pos="4573"/>
        </w:tabs>
        <w:ind w:firstLine="480"/>
        <w:jc w:val="left"/>
        <w:rPr>
          <w:rFonts w:ascii="Times New Roman" w:hAnsi="Times New Roman" w:cs="Times New Roman"/>
          <w:b w:val="0"/>
          <w:szCs w:val="24"/>
        </w:rPr>
      </w:pPr>
      <w:bookmarkStart w:id="5" w:name="_Toc183682343"/>
      <w:bookmarkStart w:id="6" w:name="_Toc183582206"/>
      <w:bookmarkStart w:id="7" w:name="_Toc317509385"/>
      <w:bookmarkStart w:id="8" w:name="_Toc317509232"/>
      <w:bookmarkStart w:id="9" w:name="_Toc325096467"/>
      <w:bookmarkStart w:id="10" w:name="_Toc217446035"/>
      <w:bookmarkStart w:id="11" w:name="_Toc325464816"/>
      <w:r>
        <w:rPr>
          <w:rFonts w:ascii="Times New Roman" w:hAnsi="Times New Roman" w:cs="Times New Roman"/>
          <w:b w:val="0"/>
          <w:szCs w:val="24"/>
        </w:rPr>
        <w:t xml:space="preserve">2. </w:t>
      </w:r>
      <w:bookmarkEnd w:id="5"/>
      <w:bookmarkEnd w:id="6"/>
      <w:r>
        <w:rPr>
          <w:rFonts w:ascii="Times New Roman" w:hAnsi="宋体" w:cs="Times New Roman"/>
          <w:b w:val="0"/>
          <w:szCs w:val="24"/>
        </w:rPr>
        <w:t>有关定义</w:t>
      </w:r>
      <w:bookmarkEnd w:id="7"/>
      <w:bookmarkEnd w:id="8"/>
      <w:bookmarkEnd w:id="9"/>
      <w:bookmarkEnd w:id="10"/>
      <w:bookmarkEnd w:id="11"/>
    </w:p>
    <w:p>
      <w:pPr>
        <w:tabs>
          <w:tab w:val="left" w:pos="7665"/>
        </w:tabs>
        <w:snapToGrid w:val="0"/>
        <w:spacing w:line="360" w:lineRule="auto"/>
        <w:ind w:firstLine="480" w:firstLineChars="200"/>
        <w:rPr>
          <w:rFonts w:eastAsia="宋体"/>
        </w:rPr>
      </w:pPr>
      <w:r>
        <w:rPr>
          <w:rFonts w:eastAsia="宋体"/>
        </w:rPr>
        <w:t xml:space="preserve">2.1 </w:t>
      </w:r>
      <w:r>
        <w:rPr>
          <w:rFonts w:hAnsi="宋体" w:eastAsia="宋体"/>
        </w:rPr>
        <w:t>本次招标的招标人是</w:t>
      </w:r>
      <w:r>
        <w:rPr>
          <w:rFonts w:hAnsi="宋体" w:eastAsia="宋体"/>
          <w:u w:val="single"/>
        </w:rPr>
        <w:t>四川省能投攀枝花水电开发有限公司</w:t>
      </w:r>
      <w:r>
        <w:rPr>
          <w:rFonts w:hAnsi="宋体" w:eastAsia="宋体"/>
        </w:rPr>
        <w:t>。</w:t>
      </w:r>
    </w:p>
    <w:p>
      <w:pPr>
        <w:tabs>
          <w:tab w:val="left" w:pos="7665"/>
        </w:tabs>
        <w:snapToGrid w:val="0"/>
        <w:spacing w:line="360" w:lineRule="auto"/>
        <w:ind w:firstLine="480" w:firstLineChars="200"/>
        <w:rPr>
          <w:rFonts w:eastAsia="宋体"/>
        </w:rPr>
      </w:pPr>
      <w:r>
        <w:rPr>
          <w:rFonts w:eastAsia="宋体"/>
        </w:rPr>
        <w:t>2.2“</w:t>
      </w:r>
      <w:r>
        <w:rPr>
          <w:rFonts w:hAnsi="宋体" w:eastAsia="宋体"/>
        </w:rPr>
        <w:t>招标人</w:t>
      </w:r>
      <w:r>
        <w:rPr>
          <w:rFonts w:eastAsia="宋体"/>
        </w:rPr>
        <w:t>”</w:t>
      </w:r>
      <w:r>
        <w:rPr>
          <w:rFonts w:hAnsi="宋体" w:eastAsia="宋体"/>
        </w:rPr>
        <w:t>系指</w:t>
      </w:r>
      <w:r>
        <w:rPr>
          <w:rFonts w:eastAsia="宋体"/>
        </w:rPr>
        <w:t>“</w:t>
      </w:r>
      <w:r>
        <w:rPr>
          <w:rFonts w:hAnsi="宋体" w:eastAsia="宋体"/>
        </w:rPr>
        <w:t>招标单位</w:t>
      </w:r>
      <w:r>
        <w:rPr>
          <w:rFonts w:eastAsia="宋体"/>
        </w:rPr>
        <w:t>”</w:t>
      </w:r>
      <w:r>
        <w:rPr>
          <w:rFonts w:hAnsi="宋体" w:eastAsia="宋体"/>
        </w:rPr>
        <w:t>和</w:t>
      </w:r>
      <w:r>
        <w:rPr>
          <w:rFonts w:eastAsia="宋体"/>
        </w:rPr>
        <w:t>“</w:t>
      </w:r>
      <w:r>
        <w:rPr>
          <w:rFonts w:hAnsi="宋体" w:eastAsia="宋体"/>
        </w:rPr>
        <w:t>招标承办单位</w:t>
      </w:r>
      <w:r>
        <w:rPr>
          <w:rFonts w:eastAsia="宋体"/>
        </w:rPr>
        <w:t>”</w:t>
      </w:r>
      <w:r>
        <w:rPr>
          <w:rFonts w:hAnsi="宋体" w:eastAsia="宋体"/>
        </w:rPr>
        <w:t>的统称。</w:t>
      </w:r>
    </w:p>
    <w:p>
      <w:pPr>
        <w:tabs>
          <w:tab w:val="left" w:pos="7665"/>
        </w:tabs>
        <w:snapToGrid w:val="0"/>
        <w:spacing w:line="360" w:lineRule="auto"/>
        <w:ind w:firstLine="480" w:firstLineChars="200"/>
        <w:rPr>
          <w:rFonts w:eastAsia="宋体"/>
        </w:rPr>
      </w:pPr>
      <w:r>
        <w:rPr>
          <w:rFonts w:eastAsia="宋体"/>
        </w:rPr>
        <w:t>2.3“</w:t>
      </w:r>
      <w:r>
        <w:rPr>
          <w:rFonts w:hAnsi="宋体" w:eastAsia="宋体"/>
        </w:rPr>
        <w:t>投标人</w:t>
      </w:r>
      <w:r>
        <w:rPr>
          <w:rFonts w:eastAsia="宋体"/>
        </w:rPr>
        <w:t>”</w:t>
      </w:r>
      <w:r>
        <w:rPr>
          <w:rFonts w:hAnsi="宋体" w:eastAsia="宋体"/>
        </w:rPr>
        <w:t>系指购买了招标文件拟参加招标和向招标人提供相应服务的法人企业或其它组织。</w:t>
      </w:r>
    </w:p>
    <w:p>
      <w:pPr>
        <w:pStyle w:val="5"/>
        <w:tabs>
          <w:tab w:val="left" w:pos="4573"/>
        </w:tabs>
        <w:ind w:firstLine="480"/>
        <w:jc w:val="left"/>
        <w:rPr>
          <w:rFonts w:ascii="Times New Roman" w:hAnsi="Times New Roman" w:cs="Times New Roman"/>
          <w:b w:val="0"/>
          <w:szCs w:val="24"/>
        </w:rPr>
      </w:pPr>
      <w:bookmarkStart w:id="12" w:name="_Toc183582207"/>
      <w:bookmarkStart w:id="13" w:name="_Toc183682344"/>
      <w:bookmarkStart w:id="14" w:name="_Toc317509233"/>
      <w:bookmarkStart w:id="15" w:name="_Toc217390843"/>
      <w:bookmarkStart w:id="16" w:name="_Toc317509386"/>
      <w:bookmarkStart w:id="17" w:name="_Toc325096468"/>
      <w:bookmarkStart w:id="18" w:name="_Toc217446036"/>
      <w:bookmarkStart w:id="19" w:name="_Toc325464817"/>
      <w:r>
        <w:rPr>
          <w:rFonts w:ascii="Times New Roman" w:hAnsi="Times New Roman" w:cs="Times New Roman"/>
          <w:b w:val="0"/>
          <w:szCs w:val="24"/>
        </w:rPr>
        <w:t xml:space="preserve">3. </w:t>
      </w:r>
      <w:r>
        <w:rPr>
          <w:rFonts w:ascii="Times New Roman" w:hAnsi="宋体" w:cs="Times New Roman"/>
          <w:b w:val="0"/>
          <w:szCs w:val="24"/>
        </w:rPr>
        <w:t>合格的</w:t>
      </w:r>
      <w:bookmarkEnd w:id="12"/>
      <w:bookmarkEnd w:id="13"/>
      <w:bookmarkEnd w:id="14"/>
      <w:bookmarkEnd w:id="15"/>
      <w:bookmarkEnd w:id="16"/>
      <w:bookmarkEnd w:id="17"/>
      <w:bookmarkEnd w:id="18"/>
      <w:bookmarkEnd w:id="19"/>
      <w:r>
        <w:rPr>
          <w:rFonts w:ascii="Times New Roman" w:hAnsi="宋体" w:cs="Times New Roman"/>
          <w:b w:val="0"/>
          <w:szCs w:val="24"/>
        </w:rPr>
        <w:t>投标人</w:t>
      </w:r>
    </w:p>
    <w:p>
      <w:pPr>
        <w:tabs>
          <w:tab w:val="left" w:pos="7665"/>
        </w:tabs>
        <w:snapToGrid w:val="0"/>
        <w:spacing w:line="360" w:lineRule="auto"/>
        <w:ind w:firstLine="480" w:firstLineChars="200"/>
        <w:rPr>
          <w:rFonts w:eastAsia="宋体"/>
        </w:rPr>
      </w:pPr>
      <w:bookmarkStart w:id="20" w:name="_Toc317509234"/>
      <w:bookmarkStart w:id="21" w:name="_Toc325464818"/>
      <w:bookmarkStart w:id="22" w:name="_Toc325096469"/>
      <w:bookmarkStart w:id="23" w:name="_Toc183682345"/>
      <w:bookmarkStart w:id="24" w:name="_Toc217446037"/>
      <w:bookmarkStart w:id="25" w:name="_Toc183582208"/>
      <w:bookmarkStart w:id="26" w:name="_Toc317509387"/>
      <w:r>
        <w:rPr>
          <w:rFonts w:eastAsia="宋体"/>
        </w:rPr>
        <w:t>3.1</w:t>
      </w:r>
      <w:r>
        <w:rPr>
          <w:rFonts w:hAnsi="宋体" w:eastAsia="宋体"/>
        </w:rPr>
        <w:t>投标人应遵守有关的国家法律、法规和条例，具备本文件中规定的条件：</w:t>
      </w:r>
    </w:p>
    <w:p>
      <w:pPr>
        <w:tabs>
          <w:tab w:val="left" w:pos="7665"/>
        </w:tabs>
        <w:snapToGrid w:val="0"/>
        <w:spacing w:line="360" w:lineRule="auto"/>
        <w:ind w:firstLine="480" w:firstLineChars="200"/>
        <w:rPr>
          <w:rFonts w:eastAsia="宋体"/>
        </w:rPr>
      </w:pPr>
      <w:r>
        <w:rPr>
          <w:rFonts w:hAnsi="宋体" w:eastAsia="宋体"/>
        </w:rPr>
        <w:t>（</w:t>
      </w:r>
      <w:r>
        <w:rPr>
          <w:rFonts w:eastAsia="宋体"/>
        </w:rPr>
        <w:t>1</w:t>
      </w:r>
      <w:r>
        <w:rPr>
          <w:rFonts w:hAnsi="宋体" w:eastAsia="宋体"/>
        </w:rPr>
        <w:t>）具有独立承担民事责任的能力；</w:t>
      </w:r>
    </w:p>
    <w:p>
      <w:pPr>
        <w:tabs>
          <w:tab w:val="left" w:pos="7665"/>
        </w:tabs>
        <w:snapToGrid w:val="0"/>
        <w:spacing w:line="360" w:lineRule="auto"/>
        <w:ind w:firstLine="480" w:firstLineChars="200"/>
        <w:rPr>
          <w:rFonts w:eastAsia="宋体"/>
        </w:rPr>
      </w:pPr>
      <w:r>
        <w:rPr>
          <w:rFonts w:hAnsi="宋体" w:eastAsia="宋体"/>
        </w:rPr>
        <w:t>（</w:t>
      </w:r>
      <w:r>
        <w:rPr>
          <w:rFonts w:eastAsia="宋体"/>
        </w:rPr>
        <w:t>2</w:t>
      </w:r>
      <w:r>
        <w:rPr>
          <w:rFonts w:hAnsi="宋体" w:eastAsia="宋体"/>
        </w:rPr>
        <w:t>）具有良好的商业信誉和健全的财务会计制度；</w:t>
      </w:r>
    </w:p>
    <w:p>
      <w:pPr>
        <w:tabs>
          <w:tab w:val="left" w:pos="7665"/>
        </w:tabs>
        <w:snapToGrid w:val="0"/>
        <w:spacing w:line="360" w:lineRule="auto"/>
        <w:ind w:firstLine="480" w:firstLineChars="200"/>
        <w:rPr>
          <w:rFonts w:eastAsia="宋体"/>
        </w:rPr>
      </w:pPr>
      <w:r>
        <w:rPr>
          <w:rFonts w:hAnsi="宋体" w:eastAsia="宋体"/>
        </w:rPr>
        <w:t>（</w:t>
      </w:r>
      <w:r>
        <w:rPr>
          <w:rFonts w:eastAsia="宋体"/>
        </w:rPr>
        <w:t>3</w:t>
      </w:r>
      <w:r>
        <w:rPr>
          <w:rFonts w:hAnsi="宋体" w:eastAsia="宋体"/>
        </w:rPr>
        <w:t>）具有履行合同所必需的设备和专业技术能力；</w:t>
      </w:r>
    </w:p>
    <w:p>
      <w:pPr>
        <w:tabs>
          <w:tab w:val="left" w:pos="7665"/>
        </w:tabs>
        <w:snapToGrid w:val="0"/>
        <w:spacing w:line="360" w:lineRule="auto"/>
        <w:ind w:firstLine="480" w:firstLineChars="200"/>
        <w:rPr>
          <w:rFonts w:eastAsia="宋体"/>
        </w:rPr>
      </w:pPr>
      <w:r>
        <w:rPr>
          <w:rFonts w:hAnsi="宋体" w:eastAsia="宋体"/>
        </w:rPr>
        <w:t>（</w:t>
      </w:r>
      <w:r>
        <w:rPr>
          <w:rFonts w:eastAsia="宋体"/>
        </w:rPr>
        <w:t>4</w:t>
      </w:r>
      <w:r>
        <w:rPr>
          <w:rFonts w:hAnsi="宋体" w:eastAsia="宋体"/>
        </w:rPr>
        <w:t>）具有依法缴纳税收和社会保障资金的良好记录；</w:t>
      </w:r>
    </w:p>
    <w:p>
      <w:pPr>
        <w:tabs>
          <w:tab w:val="left" w:pos="7665"/>
        </w:tabs>
        <w:snapToGrid w:val="0"/>
        <w:spacing w:line="360" w:lineRule="auto"/>
        <w:ind w:firstLine="480" w:firstLineChars="200"/>
        <w:rPr>
          <w:rFonts w:eastAsia="宋体"/>
        </w:rPr>
      </w:pPr>
      <w:r>
        <w:rPr>
          <w:rFonts w:hAnsi="宋体" w:eastAsia="宋体"/>
        </w:rPr>
        <w:t>（</w:t>
      </w:r>
      <w:r>
        <w:rPr>
          <w:rFonts w:eastAsia="宋体"/>
        </w:rPr>
        <w:t>5</w:t>
      </w:r>
      <w:r>
        <w:rPr>
          <w:rFonts w:hAnsi="宋体" w:eastAsia="宋体"/>
        </w:rPr>
        <w:t>）参加此项招标活动前三年</w:t>
      </w:r>
      <w:r>
        <w:rPr>
          <w:rFonts w:hint="eastAsia" w:ascii="time" w:hAnsi="time" w:cs="宋体"/>
        </w:rPr>
        <w:t>（2019</w:t>
      </w:r>
      <w:r>
        <w:rPr>
          <w:rFonts w:ascii="time" w:hAnsi="time" w:cs="宋体"/>
          <w:spacing w:val="1"/>
        </w:rPr>
        <w:t>年～20</w:t>
      </w:r>
      <w:r>
        <w:rPr>
          <w:rFonts w:hint="eastAsia" w:ascii="time" w:hAnsi="time" w:cs="宋体"/>
          <w:spacing w:val="1"/>
        </w:rPr>
        <w:t>21</w:t>
      </w:r>
      <w:r>
        <w:rPr>
          <w:rFonts w:ascii="time" w:hAnsi="time" w:cs="宋体"/>
          <w:spacing w:val="1"/>
        </w:rPr>
        <w:t>年</w:t>
      </w:r>
      <w:r>
        <w:rPr>
          <w:rFonts w:hint="eastAsia" w:ascii="time" w:hAnsi="time" w:cs="宋体"/>
        </w:rPr>
        <w:t>）</w:t>
      </w:r>
      <w:r>
        <w:rPr>
          <w:rFonts w:hAnsi="宋体" w:eastAsia="宋体"/>
        </w:rPr>
        <w:t>内，在经营活动中没有重大违法记录；</w:t>
      </w:r>
    </w:p>
    <w:p>
      <w:pPr>
        <w:tabs>
          <w:tab w:val="left" w:pos="7665"/>
        </w:tabs>
        <w:snapToGrid w:val="0"/>
        <w:spacing w:line="360" w:lineRule="auto"/>
        <w:ind w:firstLine="480" w:firstLineChars="200"/>
        <w:rPr>
          <w:rFonts w:eastAsia="宋体"/>
        </w:rPr>
      </w:pPr>
      <w:r>
        <w:rPr>
          <w:rFonts w:hAnsi="宋体" w:eastAsia="宋体"/>
        </w:rPr>
        <w:t>（</w:t>
      </w:r>
      <w:r>
        <w:rPr>
          <w:rFonts w:eastAsia="宋体"/>
        </w:rPr>
        <w:t>6</w:t>
      </w:r>
      <w:r>
        <w:rPr>
          <w:rFonts w:hAnsi="宋体" w:eastAsia="宋体"/>
        </w:rPr>
        <w:t>）法律、行政法规规定的其他条件；</w:t>
      </w:r>
    </w:p>
    <w:p>
      <w:pPr>
        <w:tabs>
          <w:tab w:val="left" w:pos="7665"/>
        </w:tabs>
        <w:snapToGrid w:val="0"/>
        <w:spacing w:line="360" w:lineRule="auto"/>
        <w:ind w:firstLine="480" w:firstLineChars="200"/>
        <w:rPr>
          <w:rFonts w:eastAsia="宋体"/>
        </w:rPr>
      </w:pPr>
      <w:r>
        <w:rPr>
          <w:rFonts w:hAnsi="宋体" w:eastAsia="宋体"/>
        </w:rPr>
        <w:t>（</w:t>
      </w:r>
      <w:r>
        <w:rPr>
          <w:rFonts w:eastAsia="宋体"/>
        </w:rPr>
        <w:t>7</w:t>
      </w:r>
      <w:r>
        <w:rPr>
          <w:rFonts w:hAnsi="宋体" w:eastAsia="宋体"/>
        </w:rPr>
        <w:t>）具有本招标文件对投标人所规定的资质条件</w:t>
      </w:r>
      <w:r>
        <w:rPr>
          <w:rFonts w:hint="eastAsia" w:hAnsi="宋体" w:eastAsia="宋体"/>
        </w:rPr>
        <w:t>。</w:t>
      </w:r>
    </w:p>
    <w:p>
      <w:pPr>
        <w:tabs>
          <w:tab w:val="left" w:pos="7665"/>
        </w:tabs>
        <w:snapToGrid w:val="0"/>
        <w:spacing w:line="360" w:lineRule="auto"/>
        <w:ind w:firstLine="480" w:firstLineChars="200"/>
        <w:rPr>
          <w:rFonts w:eastAsia="宋体"/>
        </w:rPr>
      </w:pPr>
      <w:r>
        <w:rPr>
          <w:rFonts w:eastAsia="宋体"/>
        </w:rPr>
        <w:t>3.2</w:t>
      </w:r>
      <w:r>
        <w:rPr>
          <w:rFonts w:hAnsi="宋体" w:eastAsia="宋体"/>
        </w:rPr>
        <w:t>投标人必须是已在中国境内依法登记注册的独立法人，并且其所持有的由工商行政管理部门所核发的有效的营业执照上载明的营业期限剩余时间应当不少于本次招标的相关合同基本义务履行所需期限，或已经提供相关证明材料能够证明具有履约能力。否则，招标人及评审委员会有权拒绝其本次报价。</w:t>
      </w:r>
    </w:p>
    <w:p>
      <w:pPr>
        <w:tabs>
          <w:tab w:val="left" w:pos="7665"/>
        </w:tabs>
        <w:snapToGrid w:val="0"/>
        <w:spacing w:line="360" w:lineRule="auto"/>
        <w:ind w:firstLine="480" w:firstLineChars="200"/>
        <w:rPr>
          <w:rFonts w:eastAsia="宋体"/>
        </w:rPr>
      </w:pPr>
      <w:r>
        <w:rPr>
          <w:rFonts w:eastAsia="宋体"/>
        </w:rPr>
        <w:t>3.3</w:t>
      </w:r>
      <w:r>
        <w:rPr>
          <w:rFonts w:hAnsi="宋体" w:eastAsia="宋体"/>
        </w:rPr>
        <w:t>依法注册的投标人其注册资金应足以保证本项目实施过程中的风险承担和赔付能力。</w:t>
      </w:r>
    </w:p>
    <w:p>
      <w:pPr>
        <w:pStyle w:val="5"/>
        <w:tabs>
          <w:tab w:val="left" w:pos="4573"/>
        </w:tabs>
        <w:ind w:firstLine="480"/>
        <w:jc w:val="left"/>
        <w:rPr>
          <w:rFonts w:ascii="Times New Roman" w:hAnsi="Times New Roman" w:cs="Times New Roman"/>
          <w:b w:val="0"/>
          <w:szCs w:val="24"/>
        </w:rPr>
      </w:pPr>
      <w:r>
        <w:rPr>
          <w:rFonts w:ascii="Times New Roman" w:hAnsi="Times New Roman" w:cs="Times New Roman"/>
          <w:b w:val="0"/>
          <w:szCs w:val="24"/>
        </w:rPr>
        <w:t xml:space="preserve">4. </w:t>
      </w:r>
      <w:r>
        <w:rPr>
          <w:rFonts w:ascii="Times New Roman" w:hAnsi="宋体" w:cs="Times New Roman"/>
          <w:b w:val="0"/>
          <w:szCs w:val="24"/>
        </w:rPr>
        <w:t>招标费用</w:t>
      </w:r>
      <w:bookmarkEnd w:id="20"/>
      <w:bookmarkEnd w:id="21"/>
      <w:bookmarkEnd w:id="22"/>
      <w:bookmarkEnd w:id="23"/>
      <w:bookmarkEnd w:id="24"/>
      <w:bookmarkEnd w:id="25"/>
      <w:bookmarkEnd w:id="26"/>
    </w:p>
    <w:p>
      <w:pPr>
        <w:tabs>
          <w:tab w:val="left" w:pos="7665"/>
        </w:tabs>
        <w:snapToGrid w:val="0"/>
        <w:spacing w:line="360" w:lineRule="auto"/>
        <w:ind w:firstLine="480" w:firstLineChars="200"/>
        <w:rPr>
          <w:rFonts w:eastAsia="宋体"/>
        </w:rPr>
      </w:pPr>
      <w:r>
        <w:rPr>
          <w:rFonts w:eastAsia="宋体"/>
        </w:rPr>
        <w:t>4.1</w:t>
      </w:r>
      <w:r>
        <w:rPr>
          <w:rFonts w:hAnsi="宋体" w:eastAsia="宋体"/>
        </w:rPr>
        <w:t>投标人参加招标的有关一切费用由投标人自行承担。</w:t>
      </w:r>
    </w:p>
    <w:p>
      <w:pPr>
        <w:pStyle w:val="5"/>
        <w:tabs>
          <w:tab w:val="left" w:pos="4573"/>
        </w:tabs>
        <w:ind w:firstLine="480"/>
        <w:jc w:val="left"/>
        <w:rPr>
          <w:rFonts w:ascii="Times New Roman" w:hAnsi="Times New Roman" w:cs="Times New Roman"/>
          <w:b w:val="0"/>
          <w:szCs w:val="24"/>
        </w:rPr>
      </w:pPr>
      <w:bookmarkStart w:id="27" w:name="_Toc325464820"/>
      <w:bookmarkStart w:id="28" w:name="_Toc183682347"/>
      <w:bookmarkStart w:id="29" w:name="_Toc317509389"/>
      <w:bookmarkStart w:id="30" w:name="_Toc325096471"/>
      <w:bookmarkStart w:id="31" w:name="_Toc183582210"/>
      <w:bookmarkStart w:id="32" w:name="_Toc317509236"/>
      <w:bookmarkStart w:id="33" w:name="_Toc217446039"/>
      <w:r>
        <w:rPr>
          <w:rFonts w:ascii="Times New Roman" w:hAnsi="Times New Roman" w:cs="Times New Roman"/>
          <w:b w:val="0"/>
          <w:szCs w:val="24"/>
        </w:rPr>
        <w:t>5</w:t>
      </w:r>
      <w:r>
        <w:rPr>
          <w:rFonts w:ascii="Times New Roman" w:hAnsi="宋体" w:cs="Times New Roman"/>
          <w:b w:val="0"/>
          <w:szCs w:val="24"/>
        </w:rPr>
        <w:t>．招标文件的构成</w:t>
      </w:r>
      <w:bookmarkEnd w:id="27"/>
      <w:bookmarkEnd w:id="28"/>
      <w:bookmarkEnd w:id="29"/>
      <w:bookmarkEnd w:id="30"/>
      <w:bookmarkEnd w:id="31"/>
      <w:bookmarkEnd w:id="32"/>
      <w:bookmarkEnd w:id="33"/>
    </w:p>
    <w:p>
      <w:pPr>
        <w:tabs>
          <w:tab w:val="left" w:pos="7665"/>
        </w:tabs>
        <w:snapToGrid w:val="0"/>
        <w:spacing w:line="360" w:lineRule="auto"/>
        <w:ind w:firstLine="480" w:firstLineChars="200"/>
        <w:rPr>
          <w:rFonts w:eastAsia="宋体"/>
        </w:rPr>
      </w:pPr>
      <w:r>
        <w:rPr>
          <w:rFonts w:eastAsia="宋体"/>
        </w:rPr>
        <w:t xml:space="preserve">5.1 </w:t>
      </w:r>
      <w:r>
        <w:rPr>
          <w:rFonts w:hAnsi="宋体" w:eastAsia="宋体"/>
        </w:rPr>
        <w:t>招标文件用以阐明招标项目所需的资质、技术、服务、设备及报价等要求、招标程序、有关规定和注意事项以及合同主要条款等。本招标文件包括以下内容：</w:t>
      </w:r>
    </w:p>
    <w:p>
      <w:pPr>
        <w:tabs>
          <w:tab w:val="left" w:pos="7665"/>
        </w:tabs>
        <w:snapToGrid w:val="0"/>
        <w:spacing w:line="360" w:lineRule="auto"/>
        <w:ind w:firstLine="480" w:firstLineChars="200"/>
        <w:rPr>
          <w:rFonts w:eastAsia="宋体"/>
        </w:rPr>
      </w:pPr>
      <w:r>
        <w:rPr>
          <w:rFonts w:hAnsi="宋体" w:eastAsia="宋体"/>
        </w:rPr>
        <w:t>（</w:t>
      </w:r>
      <w:r>
        <w:rPr>
          <w:rFonts w:eastAsia="宋体"/>
        </w:rPr>
        <w:t>1</w:t>
      </w:r>
      <w:r>
        <w:rPr>
          <w:rFonts w:hAnsi="宋体" w:eastAsia="宋体"/>
        </w:rPr>
        <w:t>）招标公告</w:t>
      </w:r>
    </w:p>
    <w:p>
      <w:pPr>
        <w:tabs>
          <w:tab w:val="left" w:pos="7665"/>
        </w:tabs>
        <w:snapToGrid w:val="0"/>
        <w:spacing w:line="360" w:lineRule="auto"/>
        <w:ind w:firstLine="480" w:firstLineChars="200"/>
        <w:rPr>
          <w:rFonts w:eastAsia="宋体"/>
        </w:rPr>
      </w:pPr>
      <w:r>
        <w:rPr>
          <w:rFonts w:hAnsi="宋体" w:eastAsia="宋体"/>
        </w:rPr>
        <w:t>（</w:t>
      </w:r>
      <w:r>
        <w:rPr>
          <w:rFonts w:eastAsia="宋体"/>
        </w:rPr>
        <w:t>2</w:t>
      </w:r>
      <w:r>
        <w:rPr>
          <w:rFonts w:hAnsi="宋体" w:eastAsia="宋体"/>
        </w:rPr>
        <w:t>）投标</w:t>
      </w:r>
      <w:r>
        <w:rPr>
          <w:rFonts w:hint="eastAsia" w:hAnsi="宋体" w:eastAsia="宋体"/>
        </w:rPr>
        <w:t>人</w:t>
      </w:r>
      <w:r>
        <w:rPr>
          <w:rFonts w:hAnsi="宋体" w:eastAsia="宋体"/>
        </w:rPr>
        <w:t>须知</w:t>
      </w:r>
    </w:p>
    <w:p>
      <w:pPr>
        <w:tabs>
          <w:tab w:val="left" w:pos="7665"/>
        </w:tabs>
        <w:snapToGrid w:val="0"/>
        <w:spacing w:line="360" w:lineRule="auto"/>
        <w:ind w:firstLine="480" w:firstLineChars="200"/>
        <w:rPr>
          <w:rFonts w:eastAsia="宋体"/>
        </w:rPr>
      </w:pPr>
      <w:r>
        <w:rPr>
          <w:rFonts w:hAnsi="宋体" w:eastAsia="宋体"/>
        </w:rPr>
        <w:t>（</w:t>
      </w:r>
      <w:r>
        <w:rPr>
          <w:rFonts w:eastAsia="宋体"/>
        </w:rPr>
        <w:t>3</w:t>
      </w:r>
      <w:r>
        <w:rPr>
          <w:rFonts w:hAnsi="宋体" w:eastAsia="宋体"/>
        </w:rPr>
        <w:t>）评标办法</w:t>
      </w:r>
    </w:p>
    <w:p>
      <w:pPr>
        <w:tabs>
          <w:tab w:val="left" w:pos="7665"/>
        </w:tabs>
        <w:snapToGrid w:val="0"/>
        <w:spacing w:line="360" w:lineRule="auto"/>
        <w:ind w:firstLine="480" w:firstLineChars="200"/>
        <w:rPr>
          <w:rFonts w:eastAsia="宋体"/>
        </w:rPr>
      </w:pPr>
      <w:r>
        <w:rPr>
          <w:rFonts w:hAnsi="宋体" w:eastAsia="宋体"/>
        </w:rPr>
        <w:t>（</w:t>
      </w:r>
      <w:r>
        <w:rPr>
          <w:rFonts w:eastAsia="宋体"/>
        </w:rPr>
        <w:t>4</w:t>
      </w:r>
      <w:r>
        <w:rPr>
          <w:rFonts w:hAnsi="宋体" w:eastAsia="宋体"/>
        </w:rPr>
        <w:t>）合同条款及格式</w:t>
      </w:r>
    </w:p>
    <w:p>
      <w:pPr>
        <w:tabs>
          <w:tab w:val="left" w:pos="7665"/>
        </w:tabs>
        <w:snapToGrid w:val="0"/>
        <w:spacing w:line="360" w:lineRule="auto"/>
        <w:ind w:firstLine="480" w:firstLineChars="200"/>
        <w:rPr>
          <w:rFonts w:eastAsia="宋体"/>
        </w:rPr>
      </w:pPr>
      <w:r>
        <w:rPr>
          <w:rFonts w:hAnsi="宋体" w:eastAsia="宋体"/>
        </w:rPr>
        <w:t>（</w:t>
      </w:r>
      <w:r>
        <w:rPr>
          <w:rFonts w:eastAsia="宋体"/>
        </w:rPr>
        <w:t>5</w:t>
      </w:r>
      <w:r>
        <w:rPr>
          <w:rFonts w:hAnsi="宋体" w:eastAsia="宋体"/>
        </w:rPr>
        <w:t>）招标人要求</w:t>
      </w:r>
    </w:p>
    <w:p>
      <w:pPr>
        <w:tabs>
          <w:tab w:val="left" w:pos="7665"/>
        </w:tabs>
        <w:snapToGrid w:val="0"/>
        <w:spacing w:line="360" w:lineRule="auto"/>
        <w:ind w:firstLine="480" w:firstLineChars="200"/>
        <w:rPr>
          <w:rFonts w:eastAsia="宋体"/>
        </w:rPr>
      </w:pPr>
      <w:r>
        <w:rPr>
          <w:rFonts w:hAnsi="宋体" w:eastAsia="宋体"/>
        </w:rPr>
        <w:t>（</w:t>
      </w:r>
      <w:r>
        <w:rPr>
          <w:rFonts w:eastAsia="宋体"/>
        </w:rPr>
        <w:t>6</w:t>
      </w:r>
      <w:r>
        <w:rPr>
          <w:rFonts w:hAnsi="宋体" w:eastAsia="宋体"/>
        </w:rPr>
        <w:t>）投标文件格式</w:t>
      </w:r>
    </w:p>
    <w:p>
      <w:pPr>
        <w:tabs>
          <w:tab w:val="left" w:pos="7665"/>
        </w:tabs>
        <w:snapToGrid w:val="0"/>
        <w:spacing w:line="360" w:lineRule="auto"/>
        <w:ind w:firstLine="480" w:firstLineChars="200"/>
        <w:rPr>
          <w:rFonts w:eastAsia="宋体"/>
          <w:color w:val="FF0000"/>
        </w:rPr>
      </w:pPr>
      <w:r>
        <w:rPr>
          <w:rFonts w:eastAsia="宋体"/>
        </w:rPr>
        <w:t xml:space="preserve">5.2 </w:t>
      </w:r>
      <w:r>
        <w:rPr>
          <w:rFonts w:hAnsi="宋体" w:eastAsia="宋体"/>
        </w:rPr>
        <w:t>投标人应认真阅读和充分理解招标文件中所有的事项、格式条款和规范要求。投标人没有按照招标文件要求作出实质性响应的投标文件将被拒绝。</w:t>
      </w:r>
    </w:p>
    <w:p>
      <w:pPr>
        <w:pStyle w:val="5"/>
        <w:tabs>
          <w:tab w:val="left" w:pos="4573"/>
        </w:tabs>
        <w:ind w:firstLine="480"/>
        <w:jc w:val="left"/>
        <w:rPr>
          <w:rFonts w:ascii="Times New Roman" w:hAnsi="Times New Roman" w:cs="Times New Roman"/>
          <w:b w:val="0"/>
          <w:szCs w:val="24"/>
        </w:rPr>
      </w:pPr>
      <w:bookmarkStart w:id="34" w:name="_Toc183582211"/>
      <w:bookmarkStart w:id="35" w:name="_Toc183682348"/>
      <w:bookmarkStart w:id="36" w:name="_Toc325096472"/>
      <w:bookmarkStart w:id="37" w:name="_Toc217446040"/>
      <w:bookmarkStart w:id="38" w:name="_Toc317509390"/>
      <w:bookmarkStart w:id="39" w:name="_Toc317509237"/>
      <w:bookmarkStart w:id="40" w:name="_Toc325464821"/>
      <w:r>
        <w:rPr>
          <w:rFonts w:ascii="Times New Roman" w:hAnsi="Times New Roman" w:cs="Times New Roman"/>
          <w:b w:val="0"/>
          <w:szCs w:val="24"/>
        </w:rPr>
        <w:t xml:space="preserve">6. </w:t>
      </w:r>
      <w:r>
        <w:rPr>
          <w:rFonts w:ascii="Times New Roman" w:hAnsi="宋体" w:cs="Times New Roman"/>
          <w:b w:val="0"/>
          <w:szCs w:val="24"/>
        </w:rPr>
        <w:t>招标文件的澄清</w:t>
      </w:r>
      <w:bookmarkEnd w:id="34"/>
      <w:bookmarkEnd w:id="35"/>
      <w:r>
        <w:rPr>
          <w:rFonts w:ascii="Times New Roman" w:hAnsi="宋体" w:cs="Times New Roman"/>
          <w:b w:val="0"/>
          <w:szCs w:val="24"/>
        </w:rPr>
        <w:t>和修改</w:t>
      </w:r>
      <w:bookmarkEnd w:id="36"/>
      <w:bookmarkEnd w:id="37"/>
      <w:bookmarkEnd w:id="38"/>
      <w:bookmarkEnd w:id="39"/>
      <w:bookmarkEnd w:id="40"/>
    </w:p>
    <w:p>
      <w:pPr>
        <w:tabs>
          <w:tab w:val="left" w:pos="7665"/>
        </w:tabs>
        <w:snapToGrid w:val="0"/>
        <w:spacing w:line="360" w:lineRule="auto"/>
        <w:ind w:firstLine="480" w:firstLineChars="200"/>
        <w:rPr>
          <w:rFonts w:eastAsia="宋体"/>
        </w:rPr>
      </w:pPr>
      <w:r>
        <w:rPr>
          <w:rFonts w:eastAsia="宋体"/>
        </w:rPr>
        <w:t xml:space="preserve">6.1 </w:t>
      </w:r>
      <w:r>
        <w:rPr>
          <w:rFonts w:hAnsi="宋体" w:eastAsia="宋体"/>
        </w:rPr>
        <w:t>在招标截止时间前，招标人无论出于何种原因，可以对招标文件进行澄清或者修改。</w:t>
      </w:r>
    </w:p>
    <w:p>
      <w:pPr>
        <w:pStyle w:val="5"/>
        <w:tabs>
          <w:tab w:val="left" w:pos="4573"/>
        </w:tabs>
        <w:ind w:firstLine="480"/>
        <w:jc w:val="left"/>
        <w:rPr>
          <w:rFonts w:ascii="Times New Roman" w:hAnsi="Times New Roman" w:cs="Times New Roman"/>
          <w:b w:val="0"/>
          <w:szCs w:val="24"/>
        </w:rPr>
      </w:pPr>
      <w:bookmarkStart w:id="41" w:name="_Toc183682350"/>
      <w:bookmarkStart w:id="42" w:name="_Toc183582213"/>
      <w:bookmarkStart w:id="43" w:name="_Toc317509391"/>
      <w:bookmarkStart w:id="44" w:name="_Toc317509238"/>
      <w:bookmarkStart w:id="45" w:name="_Toc325096473"/>
      <w:bookmarkStart w:id="46" w:name="_Toc217446041"/>
      <w:bookmarkStart w:id="47" w:name="_Toc208848971"/>
      <w:bookmarkStart w:id="48" w:name="_Toc325464822"/>
      <w:bookmarkStart w:id="49" w:name="_Toc183582214"/>
      <w:bookmarkStart w:id="50" w:name="_Toc183682351"/>
      <w:bookmarkStart w:id="51" w:name="_Toc77400780"/>
      <w:bookmarkStart w:id="52" w:name="_Toc217446042"/>
      <w:bookmarkStart w:id="53" w:name="_Toc89075876"/>
      <w:r>
        <w:rPr>
          <w:rFonts w:ascii="Times New Roman" w:hAnsi="Times New Roman" w:cs="Times New Roman"/>
          <w:b w:val="0"/>
          <w:szCs w:val="24"/>
        </w:rPr>
        <w:t>7</w:t>
      </w:r>
      <w:bookmarkEnd w:id="41"/>
      <w:bookmarkEnd w:id="42"/>
      <w:r>
        <w:rPr>
          <w:rFonts w:ascii="Times New Roman" w:hAnsi="Times New Roman" w:cs="Times New Roman"/>
          <w:b w:val="0"/>
          <w:szCs w:val="24"/>
        </w:rPr>
        <w:t xml:space="preserve">. </w:t>
      </w:r>
      <w:r>
        <w:rPr>
          <w:rFonts w:ascii="Times New Roman" w:hAnsi="宋体" w:cs="Times New Roman"/>
          <w:b w:val="0"/>
          <w:szCs w:val="24"/>
        </w:rPr>
        <w:t>答疑会</w:t>
      </w:r>
      <w:bookmarkEnd w:id="43"/>
      <w:bookmarkEnd w:id="44"/>
      <w:bookmarkEnd w:id="45"/>
      <w:bookmarkEnd w:id="46"/>
      <w:bookmarkEnd w:id="47"/>
      <w:bookmarkEnd w:id="48"/>
    </w:p>
    <w:p>
      <w:pPr>
        <w:tabs>
          <w:tab w:val="left" w:pos="7665"/>
        </w:tabs>
        <w:snapToGrid w:val="0"/>
        <w:spacing w:line="360" w:lineRule="auto"/>
        <w:ind w:firstLine="480" w:firstLineChars="200"/>
        <w:rPr>
          <w:rFonts w:eastAsia="宋体"/>
        </w:rPr>
      </w:pPr>
      <w:r>
        <w:rPr>
          <w:rFonts w:eastAsia="宋体"/>
        </w:rPr>
        <w:t xml:space="preserve">7.1 </w:t>
      </w:r>
      <w:r>
        <w:rPr>
          <w:rFonts w:hAnsi="宋体" w:eastAsia="宋体"/>
        </w:rPr>
        <w:t>根据招标项目和具体情况，若有必要召开，将以书面形式通知所有购买了招标文件的投标人。</w:t>
      </w:r>
      <w:bookmarkStart w:id="54" w:name="_Toc325464823"/>
    </w:p>
    <w:bookmarkEnd w:id="49"/>
    <w:bookmarkEnd w:id="50"/>
    <w:bookmarkEnd w:id="51"/>
    <w:bookmarkEnd w:id="52"/>
    <w:bookmarkEnd w:id="53"/>
    <w:bookmarkEnd w:id="54"/>
    <w:p>
      <w:pPr>
        <w:pStyle w:val="5"/>
        <w:tabs>
          <w:tab w:val="left" w:pos="4573"/>
        </w:tabs>
        <w:ind w:firstLine="480"/>
        <w:jc w:val="left"/>
        <w:rPr>
          <w:rFonts w:ascii="Times New Roman" w:hAnsi="Times New Roman" w:cs="Times New Roman"/>
          <w:b w:val="0"/>
          <w:szCs w:val="24"/>
        </w:rPr>
      </w:pPr>
      <w:bookmarkStart w:id="55" w:name="_Toc183582215"/>
      <w:bookmarkStart w:id="56" w:name="_Toc325096475"/>
      <w:bookmarkStart w:id="57" w:name="_Toc317509393"/>
      <w:bookmarkStart w:id="58" w:name="_Toc317509240"/>
      <w:bookmarkStart w:id="59" w:name="_Toc217446043"/>
      <w:bookmarkStart w:id="60" w:name="_Toc183682352"/>
      <w:bookmarkStart w:id="61" w:name="_Toc325464824"/>
      <w:r>
        <w:rPr>
          <w:rFonts w:ascii="Times New Roman" w:hAnsi="Times New Roman" w:cs="Times New Roman"/>
          <w:b w:val="0"/>
          <w:szCs w:val="24"/>
        </w:rPr>
        <w:t>8</w:t>
      </w:r>
      <w:r>
        <w:rPr>
          <w:rFonts w:ascii="Times New Roman" w:hAnsi="宋体" w:cs="Times New Roman"/>
          <w:b w:val="0"/>
          <w:szCs w:val="24"/>
        </w:rPr>
        <w:t>．投标文件的语言</w:t>
      </w:r>
      <w:bookmarkEnd w:id="55"/>
      <w:bookmarkEnd w:id="56"/>
      <w:bookmarkEnd w:id="57"/>
      <w:bookmarkEnd w:id="58"/>
      <w:bookmarkEnd w:id="59"/>
      <w:bookmarkEnd w:id="60"/>
      <w:bookmarkEnd w:id="61"/>
    </w:p>
    <w:p>
      <w:pPr>
        <w:tabs>
          <w:tab w:val="left" w:pos="7665"/>
        </w:tabs>
        <w:snapToGrid w:val="0"/>
        <w:spacing w:line="360" w:lineRule="auto"/>
        <w:ind w:firstLine="480" w:firstLineChars="200"/>
        <w:rPr>
          <w:rFonts w:eastAsia="宋体"/>
          <w:color w:val="FF0000"/>
        </w:rPr>
      </w:pPr>
      <w:r>
        <w:rPr>
          <w:rFonts w:eastAsia="宋体"/>
        </w:rPr>
        <w:t xml:space="preserve">8.1 </w:t>
      </w:r>
      <w:r>
        <w:rPr>
          <w:rFonts w:hAnsi="宋体" w:eastAsia="宋体"/>
        </w:rPr>
        <w:t>投标人提交的投标文件以及投标人与招标人就有关招标的所有来往书面文件均须使用中文。投标文件中如附有外文资料，必须逐一对应翻译成中文并加盖投标人公章后附在相关外文资料后面。</w:t>
      </w:r>
      <w:bookmarkStart w:id="62" w:name="_Toc325464825"/>
      <w:bookmarkStart w:id="63" w:name="_Toc183582216"/>
      <w:bookmarkStart w:id="64" w:name="_Toc325096476"/>
      <w:bookmarkStart w:id="65" w:name="_Toc317509394"/>
      <w:bookmarkStart w:id="66" w:name="_Toc317509241"/>
      <w:bookmarkStart w:id="67" w:name="_Toc183682353"/>
      <w:bookmarkStart w:id="68" w:name="_Toc217446044"/>
    </w:p>
    <w:p>
      <w:pPr>
        <w:pStyle w:val="5"/>
        <w:tabs>
          <w:tab w:val="left" w:pos="4573"/>
        </w:tabs>
        <w:ind w:firstLine="480"/>
        <w:jc w:val="left"/>
        <w:rPr>
          <w:rFonts w:ascii="Times New Roman" w:hAnsi="Times New Roman" w:cs="Times New Roman"/>
          <w:b w:val="0"/>
          <w:szCs w:val="24"/>
        </w:rPr>
      </w:pPr>
      <w:r>
        <w:rPr>
          <w:rFonts w:ascii="Times New Roman" w:hAnsi="Times New Roman" w:cs="Times New Roman"/>
          <w:b w:val="0"/>
          <w:szCs w:val="24"/>
        </w:rPr>
        <w:t>9</w:t>
      </w:r>
      <w:r>
        <w:rPr>
          <w:rFonts w:ascii="Times New Roman" w:hAnsi="宋体" w:cs="Times New Roman"/>
          <w:b w:val="0"/>
          <w:szCs w:val="24"/>
        </w:rPr>
        <w:t>．计量单位</w:t>
      </w:r>
      <w:bookmarkEnd w:id="62"/>
      <w:bookmarkEnd w:id="63"/>
      <w:bookmarkEnd w:id="64"/>
      <w:bookmarkEnd w:id="65"/>
      <w:bookmarkEnd w:id="66"/>
      <w:bookmarkEnd w:id="67"/>
      <w:bookmarkEnd w:id="68"/>
    </w:p>
    <w:p>
      <w:pPr>
        <w:tabs>
          <w:tab w:val="left" w:pos="7665"/>
        </w:tabs>
        <w:snapToGrid w:val="0"/>
        <w:spacing w:line="360" w:lineRule="auto"/>
        <w:ind w:firstLine="480" w:firstLineChars="200"/>
        <w:rPr>
          <w:rFonts w:eastAsia="宋体"/>
        </w:rPr>
      </w:pPr>
      <w:r>
        <w:rPr>
          <w:rFonts w:eastAsia="宋体"/>
        </w:rPr>
        <w:t>9.1</w:t>
      </w:r>
      <w:r>
        <w:rPr>
          <w:rFonts w:hAnsi="宋体" w:eastAsia="宋体"/>
        </w:rPr>
        <w:t>除技术规格及要求中另有规定外，本招标项目的招标均采用国家法定的计量单位。</w:t>
      </w:r>
    </w:p>
    <w:p>
      <w:pPr>
        <w:pStyle w:val="5"/>
        <w:tabs>
          <w:tab w:val="left" w:pos="4573"/>
        </w:tabs>
        <w:ind w:firstLine="480"/>
        <w:jc w:val="left"/>
        <w:rPr>
          <w:rFonts w:ascii="Times New Roman" w:hAnsi="Times New Roman" w:cs="Times New Roman"/>
          <w:b w:val="0"/>
          <w:szCs w:val="24"/>
        </w:rPr>
      </w:pPr>
      <w:r>
        <w:rPr>
          <w:rFonts w:ascii="Times New Roman" w:hAnsi="Times New Roman" w:cs="Times New Roman"/>
          <w:b w:val="0"/>
          <w:szCs w:val="24"/>
        </w:rPr>
        <w:t xml:space="preserve">10. </w:t>
      </w:r>
      <w:r>
        <w:rPr>
          <w:rFonts w:ascii="Times New Roman" w:hAnsi="宋体" w:cs="Times New Roman"/>
          <w:b w:val="0"/>
          <w:szCs w:val="24"/>
        </w:rPr>
        <w:t>招标货币</w:t>
      </w:r>
    </w:p>
    <w:p>
      <w:pPr>
        <w:tabs>
          <w:tab w:val="left" w:pos="7665"/>
        </w:tabs>
        <w:snapToGrid w:val="0"/>
        <w:spacing w:line="360" w:lineRule="auto"/>
        <w:ind w:firstLine="480" w:firstLineChars="200"/>
        <w:rPr>
          <w:rFonts w:eastAsia="宋体"/>
        </w:rPr>
      </w:pPr>
      <w:r>
        <w:rPr>
          <w:rFonts w:eastAsia="宋体"/>
        </w:rPr>
        <w:t>10.1</w:t>
      </w:r>
      <w:r>
        <w:rPr>
          <w:rFonts w:hAnsi="宋体" w:eastAsia="宋体"/>
        </w:rPr>
        <w:t>本次招标项目的招标均以人民币报价。</w:t>
      </w:r>
      <w:bookmarkStart w:id="69" w:name="_Toc217446046"/>
      <w:bookmarkStart w:id="70" w:name="_Toc317509396"/>
      <w:bookmarkStart w:id="71" w:name="_Toc325096478"/>
      <w:bookmarkStart w:id="72" w:name="_Toc325464827"/>
      <w:bookmarkStart w:id="73" w:name="_Toc317509243"/>
    </w:p>
    <w:p>
      <w:pPr>
        <w:pStyle w:val="5"/>
        <w:tabs>
          <w:tab w:val="left" w:pos="4573"/>
        </w:tabs>
        <w:ind w:firstLine="480"/>
        <w:jc w:val="left"/>
        <w:rPr>
          <w:rFonts w:ascii="Times New Roman" w:hAnsi="Times New Roman" w:cs="Times New Roman"/>
          <w:b w:val="0"/>
          <w:szCs w:val="24"/>
        </w:rPr>
      </w:pPr>
      <w:r>
        <w:rPr>
          <w:rFonts w:ascii="Times New Roman" w:hAnsi="Times New Roman" w:cs="Times New Roman"/>
          <w:b w:val="0"/>
          <w:szCs w:val="24"/>
        </w:rPr>
        <w:t>11</w:t>
      </w:r>
      <w:r>
        <w:rPr>
          <w:rFonts w:ascii="Times New Roman" w:hAnsi="宋体" w:cs="Times New Roman"/>
          <w:b w:val="0"/>
          <w:szCs w:val="24"/>
        </w:rPr>
        <w:t>．联合招标</w:t>
      </w:r>
      <w:bookmarkEnd w:id="69"/>
      <w:bookmarkEnd w:id="70"/>
      <w:bookmarkEnd w:id="71"/>
      <w:bookmarkEnd w:id="72"/>
      <w:bookmarkEnd w:id="73"/>
    </w:p>
    <w:p>
      <w:pPr>
        <w:tabs>
          <w:tab w:val="left" w:pos="7665"/>
        </w:tabs>
        <w:snapToGrid w:val="0"/>
        <w:spacing w:line="360" w:lineRule="auto"/>
        <w:ind w:firstLine="480" w:firstLineChars="200"/>
        <w:rPr>
          <w:rFonts w:eastAsia="宋体"/>
        </w:rPr>
      </w:pPr>
      <w:r>
        <w:rPr>
          <w:rFonts w:eastAsia="宋体"/>
        </w:rPr>
        <w:t>11.1</w:t>
      </w:r>
      <w:bookmarkStart w:id="74" w:name="_Toc217446047"/>
      <w:r>
        <w:rPr>
          <w:rFonts w:hAnsi="宋体" w:eastAsia="宋体"/>
        </w:rPr>
        <w:t>不允许联合体参与投标</w:t>
      </w:r>
      <w:bookmarkStart w:id="75" w:name="_Toc317509397"/>
      <w:bookmarkStart w:id="76" w:name="_Toc317509244"/>
      <w:bookmarkStart w:id="77" w:name="_Toc325464828"/>
      <w:bookmarkStart w:id="78" w:name="_Toc325096479"/>
    </w:p>
    <w:p>
      <w:pPr>
        <w:pStyle w:val="5"/>
        <w:tabs>
          <w:tab w:val="left" w:pos="4573"/>
        </w:tabs>
        <w:ind w:firstLine="480"/>
        <w:jc w:val="left"/>
        <w:rPr>
          <w:rFonts w:ascii="Times New Roman" w:hAnsi="Times New Roman" w:cs="Times New Roman"/>
          <w:b w:val="0"/>
          <w:szCs w:val="24"/>
        </w:rPr>
      </w:pPr>
      <w:r>
        <w:rPr>
          <w:rFonts w:ascii="Times New Roman" w:hAnsi="Times New Roman" w:cs="Times New Roman"/>
          <w:b w:val="0"/>
          <w:szCs w:val="24"/>
        </w:rPr>
        <w:t>12</w:t>
      </w:r>
      <w:r>
        <w:rPr>
          <w:rFonts w:ascii="Times New Roman" w:hAnsi="宋体" w:cs="Times New Roman"/>
          <w:b w:val="0"/>
          <w:szCs w:val="24"/>
        </w:rPr>
        <w:t>．知识产权</w:t>
      </w:r>
      <w:bookmarkEnd w:id="74"/>
      <w:bookmarkEnd w:id="75"/>
      <w:bookmarkEnd w:id="76"/>
      <w:bookmarkEnd w:id="77"/>
      <w:bookmarkEnd w:id="78"/>
    </w:p>
    <w:p>
      <w:pPr>
        <w:tabs>
          <w:tab w:val="left" w:pos="7665"/>
        </w:tabs>
        <w:snapToGrid w:val="0"/>
        <w:spacing w:line="360" w:lineRule="auto"/>
        <w:ind w:firstLine="480" w:firstLineChars="200"/>
        <w:rPr>
          <w:rFonts w:eastAsia="宋体"/>
        </w:rPr>
      </w:pPr>
      <w:r>
        <w:rPr>
          <w:rFonts w:eastAsia="宋体"/>
        </w:rPr>
        <w:t xml:space="preserve">12.1 </w:t>
      </w:r>
      <w:r>
        <w:rPr>
          <w:rFonts w:hAnsi="宋体" w:eastAsia="宋体"/>
        </w:rPr>
        <w:t>投标人应保证在本项目使用的任何产品和服务</w:t>
      </w:r>
      <w:r>
        <w:rPr>
          <w:rFonts w:eastAsia="宋体"/>
        </w:rPr>
        <w:t>(</w:t>
      </w:r>
      <w:r>
        <w:rPr>
          <w:rFonts w:hAnsi="宋体" w:eastAsia="宋体"/>
        </w:rPr>
        <w:t>包括部分使用</w:t>
      </w:r>
      <w:r>
        <w:rPr>
          <w:rFonts w:eastAsia="宋体"/>
        </w:rPr>
        <w:t>)</w:t>
      </w:r>
      <w:r>
        <w:rPr>
          <w:rFonts w:hAnsi="宋体" w:eastAsia="宋体"/>
        </w:rPr>
        <w:t>时，不会产生因第三方提出侵犯其专利权、商标权或其它知识产权而引起的法律和经济纠纷，如因专利权、商标权或其它知识产权而引起法律和经济纠纷，由投标人承担所有相关责任。</w:t>
      </w:r>
      <w:bookmarkStart w:id="79" w:name="_Toc325096480"/>
      <w:bookmarkStart w:id="80" w:name="_Toc317509245"/>
      <w:bookmarkStart w:id="81" w:name="_Toc183582217"/>
      <w:bookmarkStart w:id="82" w:name="_Toc183682354"/>
      <w:bookmarkStart w:id="83" w:name="_Toc317509398"/>
      <w:bookmarkStart w:id="84" w:name="_Toc325464829"/>
      <w:bookmarkStart w:id="85" w:name="_Toc217446048"/>
    </w:p>
    <w:p>
      <w:pPr>
        <w:pStyle w:val="5"/>
        <w:tabs>
          <w:tab w:val="left" w:pos="4573"/>
        </w:tabs>
        <w:ind w:firstLine="480"/>
        <w:jc w:val="left"/>
        <w:rPr>
          <w:rFonts w:ascii="Times New Roman" w:hAnsi="Times New Roman" w:cs="Times New Roman"/>
          <w:b w:val="0"/>
          <w:szCs w:val="24"/>
        </w:rPr>
      </w:pPr>
      <w:r>
        <w:rPr>
          <w:rFonts w:ascii="Times New Roman" w:hAnsi="Times New Roman" w:cs="Times New Roman"/>
          <w:b w:val="0"/>
          <w:szCs w:val="24"/>
        </w:rPr>
        <w:t>13</w:t>
      </w:r>
      <w:r>
        <w:rPr>
          <w:rFonts w:ascii="Times New Roman" w:hAnsi="宋体" w:cs="Times New Roman"/>
          <w:b w:val="0"/>
          <w:szCs w:val="24"/>
        </w:rPr>
        <w:t>．投标文件的组成</w:t>
      </w:r>
      <w:bookmarkEnd w:id="79"/>
      <w:bookmarkEnd w:id="80"/>
      <w:bookmarkEnd w:id="81"/>
      <w:bookmarkEnd w:id="82"/>
      <w:bookmarkEnd w:id="83"/>
      <w:bookmarkEnd w:id="84"/>
      <w:bookmarkEnd w:id="85"/>
    </w:p>
    <w:p>
      <w:pPr>
        <w:tabs>
          <w:tab w:val="left" w:pos="7665"/>
        </w:tabs>
        <w:snapToGrid w:val="0"/>
        <w:spacing w:line="360" w:lineRule="auto"/>
        <w:ind w:firstLine="480" w:firstLineChars="200"/>
        <w:rPr>
          <w:rFonts w:eastAsia="宋体"/>
        </w:rPr>
      </w:pPr>
      <w:r>
        <w:rPr>
          <w:rFonts w:hAnsi="宋体" w:eastAsia="宋体"/>
        </w:rPr>
        <w:t>投标人应按照招标文件的规定和要求编制投标文件。投标人拟在中标后将中标项目的非主体、非关键性工作交由他人完成的，应当在投标文件中载明。投标人编写的投标文件应包括下列部分：</w:t>
      </w:r>
    </w:p>
    <w:p>
      <w:pPr>
        <w:pStyle w:val="66"/>
        <w:numPr>
          <w:ilvl w:val="0"/>
          <w:numId w:val="1"/>
        </w:numPr>
        <w:tabs>
          <w:tab w:val="left" w:pos="7665"/>
        </w:tabs>
        <w:snapToGrid w:val="0"/>
        <w:spacing w:line="360" w:lineRule="auto"/>
        <w:rPr>
          <w:rFonts w:eastAsia="宋体"/>
        </w:rPr>
      </w:pPr>
      <w:r>
        <w:rPr>
          <w:rFonts w:hAnsi="宋体" w:eastAsia="宋体"/>
        </w:rPr>
        <w:t>投标申请函、法定代表人身份证明书、法定代表人授权委托书</w:t>
      </w:r>
    </w:p>
    <w:p>
      <w:pPr>
        <w:pStyle w:val="66"/>
        <w:numPr>
          <w:ilvl w:val="0"/>
          <w:numId w:val="1"/>
        </w:numPr>
        <w:tabs>
          <w:tab w:val="left" w:pos="7665"/>
        </w:tabs>
        <w:snapToGrid w:val="0"/>
        <w:spacing w:line="360" w:lineRule="auto"/>
        <w:rPr>
          <w:rFonts w:eastAsia="宋体"/>
        </w:rPr>
      </w:pPr>
      <w:r>
        <w:rPr>
          <w:rFonts w:hAnsi="宋体" w:eastAsia="宋体"/>
        </w:rPr>
        <w:t>报价表</w:t>
      </w:r>
    </w:p>
    <w:p>
      <w:pPr>
        <w:pStyle w:val="66"/>
        <w:numPr>
          <w:ilvl w:val="0"/>
          <w:numId w:val="1"/>
        </w:numPr>
        <w:tabs>
          <w:tab w:val="left" w:pos="7665"/>
        </w:tabs>
        <w:snapToGrid w:val="0"/>
        <w:spacing w:line="360" w:lineRule="auto"/>
        <w:rPr>
          <w:rFonts w:eastAsia="宋体"/>
        </w:rPr>
      </w:pPr>
      <w:r>
        <w:rPr>
          <w:rFonts w:hAnsi="宋体" w:eastAsia="宋体"/>
        </w:rPr>
        <w:t>资格审查资料</w:t>
      </w:r>
    </w:p>
    <w:p>
      <w:pPr>
        <w:pStyle w:val="66"/>
        <w:numPr>
          <w:ilvl w:val="0"/>
          <w:numId w:val="1"/>
        </w:numPr>
        <w:tabs>
          <w:tab w:val="left" w:pos="7665"/>
        </w:tabs>
        <w:snapToGrid w:val="0"/>
        <w:spacing w:line="360" w:lineRule="auto"/>
        <w:rPr>
          <w:rFonts w:eastAsia="宋体"/>
        </w:rPr>
      </w:pPr>
      <w:r>
        <w:rPr>
          <w:rFonts w:hAnsi="宋体" w:eastAsia="宋体"/>
        </w:rPr>
        <w:t>近</w:t>
      </w:r>
      <w:r>
        <w:rPr>
          <w:rFonts w:eastAsia="宋体"/>
        </w:rPr>
        <w:t>3</w:t>
      </w:r>
      <w:r>
        <w:rPr>
          <w:rFonts w:hAnsi="宋体" w:eastAsia="宋体"/>
        </w:rPr>
        <w:t>年（</w:t>
      </w:r>
      <w:r>
        <w:rPr>
          <w:rFonts w:eastAsia="宋体"/>
        </w:rPr>
        <w:t>201</w:t>
      </w:r>
      <w:r>
        <w:rPr>
          <w:rFonts w:hint="eastAsia" w:eastAsia="宋体"/>
          <w:lang w:val="en-US" w:eastAsia="zh-CN"/>
        </w:rPr>
        <w:t>8</w:t>
      </w:r>
      <w:r>
        <w:rPr>
          <w:rFonts w:hAnsi="宋体" w:eastAsia="宋体"/>
        </w:rPr>
        <w:t>年～</w:t>
      </w:r>
      <w:r>
        <w:rPr>
          <w:rFonts w:eastAsia="宋体"/>
        </w:rPr>
        <w:t>202</w:t>
      </w:r>
      <w:r>
        <w:rPr>
          <w:rFonts w:hint="eastAsia" w:eastAsia="宋体"/>
          <w:lang w:val="en-US" w:eastAsia="zh-CN"/>
        </w:rPr>
        <w:t>0</w:t>
      </w:r>
      <w:r>
        <w:rPr>
          <w:rFonts w:hAnsi="宋体" w:eastAsia="宋体"/>
        </w:rPr>
        <w:t>年）经审计的财务报表</w:t>
      </w:r>
    </w:p>
    <w:p>
      <w:pPr>
        <w:pStyle w:val="66"/>
        <w:numPr>
          <w:ilvl w:val="0"/>
          <w:numId w:val="1"/>
        </w:numPr>
        <w:tabs>
          <w:tab w:val="left" w:pos="7665"/>
        </w:tabs>
        <w:snapToGrid w:val="0"/>
        <w:spacing w:line="360" w:lineRule="auto"/>
        <w:rPr>
          <w:rFonts w:eastAsia="宋体"/>
        </w:rPr>
      </w:pPr>
      <w:r>
        <w:rPr>
          <w:rFonts w:hAnsi="宋体" w:eastAsia="宋体"/>
        </w:rPr>
        <w:t>近</w:t>
      </w:r>
      <w:r>
        <w:rPr>
          <w:rFonts w:eastAsia="宋体"/>
        </w:rPr>
        <w:t>3</w:t>
      </w:r>
      <w:r>
        <w:rPr>
          <w:rFonts w:hAnsi="宋体" w:eastAsia="宋体"/>
        </w:rPr>
        <w:t>年（</w:t>
      </w:r>
      <w:r>
        <w:rPr>
          <w:rFonts w:eastAsia="宋体"/>
        </w:rPr>
        <w:t>2019</w:t>
      </w:r>
      <w:r>
        <w:rPr>
          <w:rFonts w:hAnsi="宋体" w:eastAsia="宋体"/>
        </w:rPr>
        <w:t>年～至今）以来承担同类项目业绩一览表</w:t>
      </w:r>
    </w:p>
    <w:p>
      <w:pPr>
        <w:pStyle w:val="66"/>
        <w:numPr>
          <w:ilvl w:val="0"/>
          <w:numId w:val="1"/>
        </w:numPr>
        <w:tabs>
          <w:tab w:val="left" w:pos="7665"/>
        </w:tabs>
        <w:snapToGrid w:val="0"/>
        <w:spacing w:line="360" w:lineRule="auto"/>
        <w:rPr>
          <w:rFonts w:eastAsia="宋体"/>
        </w:rPr>
      </w:pPr>
      <w:r>
        <w:rPr>
          <w:rFonts w:hAnsi="宋体" w:eastAsia="宋体"/>
        </w:rPr>
        <w:t>项目管理机构组成表</w:t>
      </w:r>
    </w:p>
    <w:p>
      <w:pPr>
        <w:pStyle w:val="66"/>
        <w:numPr>
          <w:ilvl w:val="0"/>
          <w:numId w:val="1"/>
        </w:numPr>
        <w:tabs>
          <w:tab w:val="left" w:pos="7665"/>
        </w:tabs>
        <w:snapToGrid w:val="0"/>
        <w:spacing w:line="360" w:lineRule="auto"/>
        <w:rPr>
          <w:rFonts w:eastAsia="宋体"/>
        </w:rPr>
      </w:pPr>
      <w:r>
        <w:rPr>
          <w:rFonts w:hAnsi="宋体" w:eastAsia="宋体"/>
        </w:rPr>
        <w:t>拟派主要人员情况表</w:t>
      </w:r>
    </w:p>
    <w:p>
      <w:pPr>
        <w:pStyle w:val="66"/>
        <w:numPr>
          <w:ilvl w:val="0"/>
          <w:numId w:val="1"/>
        </w:numPr>
        <w:tabs>
          <w:tab w:val="left" w:pos="7665"/>
        </w:tabs>
        <w:snapToGrid w:val="0"/>
        <w:spacing w:line="360" w:lineRule="auto"/>
        <w:rPr>
          <w:rFonts w:eastAsia="宋体"/>
        </w:rPr>
      </w:pPr>
      <w:r>
        <w:rPr>
          <w:rFonts w:hAnsi="宋体" w:eastAsia="宋体"/>
        </w:rPr>
        <w:t>实施方案</w:t>
      </w:r>
    </w:p>
    <w:p>
      <w:pPr>
        <w:pStyle w:val="66"/>
        <w:numPr>
          <w:ilvl w:val="0"/>
          <w:numId w:val="1"/>
        </w:numPr>
        <w:tabs>
          <w:tab w:val="left" w:pos="7665"/>
        </w:tabs>
        <w:snapToGrid w:val="0"/>
        <w:spacing w:line="360" w:lineRule="auto"/>
        <w:rPr>
          <w:rFonts w:eastAsia="宋体"/>
        </w:rPr>
      </w:pPr>
      <w:r>
        <w:rPr>
          <w:rFonts w:hAnsi="宋体" w:eastAsia="宋体"/>
        </w:rPr>
        <w:t>其他资料</w:t>
      </w:r>
    </w:p>
    <w:p>
      <w:pPr>
        <w:pStyle w:val="5"/>
        <w:tabs>
          <w:tab w:val="left" w:pos="4573"/>
        </w:tabs>
        <w:ind w:firstLine="480"/>
        <w:jc w:val="left"/>
        <w:rPr>
          <w:rFonts w:ascii="Times New Roman" w:hAnsi="Times New Roman" w:cs="Times New Roman"/>
          <w:b w:val="0"/>
          <w:szCs w:val="24"/>
        </w:rPr>
      </w:pPr>
      <w:bookmarkStart w:id="86" w:name="_Toc217446049"/>
      <w:bookmarkStart w:id="87" w:name="_Toc325096481"/>
      <w:bookmarkStart w:id="88" w:name="_Toc317509399"/>
      <w:bookmarkStart w:id="89" w:name="_Toc183582218"/>
      <w:bookmarkStart w:id="90" w:name="_Toc183682355"/>
      <w:bookmarkStart w:id="91" w:name="_Toc317509246"/>
      <w:bookmarkStart w:id="92" w:name="_Toc325464830"/>
      <w:r>
        <w:rPr>
          <w:rFonts w:ascii="Times New Roman" w:hAnsi="Times New Roman" w:cs="Times New Roman"/>
          <w:b w:val="0"/>
          <w:szCs w:val="24"/>
        </w:rPr>
        <w:t>14</w:t>
      </w:r>
      <w:r>
        <w:rPr>
          <w:rFonts w:ascii="Times New Roman" w:hAnsi="宋体" w:cs="Times New Roman"/>
          <w:b w:val="0"/>
          <w:szCs w:val="24"/>
        </w:rPr>
        <w:t>．投标文件格式</w:t>
      </w:r>
      <w:bookmarkEnd w:id="86"/>
      <w:bookmarkEnd w:id="87"/>
      <w:bookmarkEnd w:id="88"/>
      <w:bookmarkEnd w:id="89"/>
      <w:bookmarkEnd w:id="90"/>
      <w:bookmarkEnd w:id="91"/>
      <w:bookmarkEnd w:id="92"/>
    </w:p>
    <w:p>
      <w:pPr>
        <w:tabs>
          <w:tab w:val="left" w:pos="7665"/>
        </w:tabs>
        <w:snapToGrid w:val="0"/>
        <w:spacing w:line="360" w:lineRule="auto"/>
        <w:ind w:firstLine="480" w:firstLineChars="200"/>
        <w:rPr>
          <w:rFonts w:eastAsia="宋体"/>
        </w:rPr>
      </w:pPr>
      <w:bookmarkStart w:id="93" w:name="_Toc183582223"/>
      <w:bookmarkStart w:id="94" w:name="_Toc183682360"/>
      <w:bookmarkStart w:id="95" w:name="_Toc217446050"/>
      <w:r>
        <w:rPr>
          <w:rFonts w:eastAsia="宋体"/>
        </w:rPr>
        <w:t>14.1</w:t>
      </w:r>
      <w:r>
        <w:rPr>
          <w:rFonts w:hAnsi="宋体" w:eastAsia="宋体"/>
        </w:rPr>
        <w:t>投标人应严格按照招标文件第六章中提供的</w:t>
      </w:r>
      <w:r>
        <w:rPr>
          <w:rFonts w:eastAsia="宋体"/>
        </w:rPr>
        <w:t>“</w:t>
      </w:r>
      <w:r>
        <w:rPr>
          <w:rFonts w:hAnsi="宋体" w:eastAsia="宋体"/>
        </w:rPr>
        <w:t>投标文件格式</w:t>
      </w:r>
      <w:r>
        <w:rPr>
          <w:rFonts w:eastAsia="宋体"/>
        </w:rPr>
        <w:t>”</w:t>
      </w:r>
      <w:r>
        <w:rPr>
          <w:rFonts w:hAnsi="宋体" w:eastAsia="宋体"/>
        </w:rPr>
        <w:t>填写相关内容。除明确允许投标人可以自行编写的外，投标人不得以</w:t>
      </w:r>
      <w:r>
        <w:rPr>
          <w:rFonts w:eastAsia="宋体"/>
        </w:rPr>
        <w:t>“</w:t>
      </w:r>
      <w:r>
        <w:rPr>
          <w:rFonts w:hAnsi="宋体" w:eastAsia="宋体"/>
        </w:rPr>
        <w:t>投标文件格式</w:t>
      </w:r>
      <w:r>
        <w:rPr>
          <w:rFonts w:eastAsia="宋体"/>
        </w:rPr>
        <w:t>”</w:t>
      </w:r>
      <w:r>
        <w:rPr>
          <w:rFonts w:hAnsi="宋体" w:eastAsia="宋体"/>
        </w:rPr>
        <w:t>规定之外的方式填写相关内容。</w:t>
      </w:r>
    </w:p>
    <w:p>
      <w:pPr>
        <w:pStyle w:val="5"/>
        <w:tabs>
          <w:tab w:val="left" w:pos="4573"/>
        </w:tabs>
        <w:ind w:firstLine="480"/>
        <w:jc w:val="left"/>
        <w:rPr>
          <w:rFonts w:ascii="Times New Roman" w:hAnsi="Times New Roman" w:cs="Times New Roman"/>
          <w:b w:val="0"/>
          <w:szCs w:val="24"/>
        </w:rPr>
      </w:pPr>
      <w:r>
        <w:rPr>
          <w:rFonts w:ascii="Times New Roman" w:hAnsi="Times New Roman" w:cs="Times New Roman"/>
          <w:b w:val="0"/>
          <w:szCs w:val="24"/>
        </w:rPr>
        <w:t>15</w:t>
      </w:r>
      <w:r>
        <w:rPr>
          <w:rFonts w:ascii="Times New Roman" w:hAnsi="宋体" w:cs="Times New Roman"/>
          <w:b w:val="0"/>
          <w:szCs w:val="24"/>
        </w:rPr>
        <w:t>．投标保证金</w:t>
      </w:r>
    </w:p>
    <w:p>
      <w:pPr>
        <w:tabs>
          <w:tab w:val="left" w:pos="7665"/>
        </w:tabs>
        <w:snapToGrid w:val="0"/>
        <w:spacing w:line="360" w:lineRule="auto"/>
        <w:ind w:firstLine="480" w:firstLineChars="200"/>
        <w:rPr>
          <w:rFonts w:eastAsia="宋体"/>
        </w:rPr>
      </w:pPr>
      <w:r>
        <w:rPr>
          <w:rFonts w:eastAsia="宋体"/>
        </w:rPr>
        <w:t xml:space="preserve">15.1 </w:t>
      </w:r>
      <w:r>
        <w:rPr>
          <w:rFonts w:hAnsi="宋体" w:eastAsia="宋体"/>
        </w:rPr>
        <w:t>本项目不需要投标保证金。</w:t>
      </w:r>
    </w:p>
    <w:bookmarkEnd w:id="93"/>
    <w:bookmarkEnd w:id="94"/>
    <w:bookmarkEnd w:id="95"/>
    <w:p>
      <w:pPr>
        <w:pStyle w:val="5"/>
        <w:tabs>
          <w:tab w:val="left" w:pos="4573"/>
        </w:tabs>
        <w:ind w:firstLine="480"/>
        <w:jc w:val="left"/>
        <w:rPr>
          <w:rFonts w:ascii="Times New Roman" w:hAnsi="Times New Roman" w:cs="Times New Roman"/>
          <w:b w:val="0"/>
          <w:szCs w:val="24"/>
        </w:rPr>
      </w:pPr>
      <w:bookmarkStart w:id="96" w:name="_Toc325096485"/>
      <w:bookmarkStart w:id="97" w:name="_Toc183582224"/>
      <w:bookmarkStart w:id="98" w:name="_Toc317509250"/>
      <w:bookmarkStart w:id="99" w:name="_Toc325464834"/>
      <w:bookmarkStart w:id="100" w:name="_Toc217446051"/>
      <w:bookmarkStart w:id="101" w:name="_Toc183682361"/>
      <w:bookmarkStart w:id="102" w:name="_Toc317509403"/>
      <w:r>
        <w:rPr>
          <w:rFonts w:ascii="Times New Roman" w:hAnsi="Times New Roman" w:cs="Times New Roman"/>
          <w:b w:val="0"/>
          <w:szCs w:val="24"/>
        </w:rPr>
        <w:t>16</w:t>
      </w:r>
      <w:r>
        <w:rPr>
          <w:rFonts w:ascii="Times New Roman" w:hAnsi="宋体" w:cs="Times New Roman"/>
          <w:b w:val="0"/>
          <w:szCs w:val="24"/>
        </w:rPr>
        <w:t>．投标有效期</w:t>
      </w:r>
      <w:bookmarkEnd w:id="96"/>
      <w:bookmarkEnd w:id="97"/>
      <w:bookmarkEnd w:id="98"/>
      <w:bookmarkEnd w:id="99"/>
      <w:bookmarkEnd w:id="100"/>
      <w:bookmarkEnd w:id="101"/>
      <w:bookmarkEnd w:id="102"/>
    </w:p>
    <w:p>
      <w:pPr>
        <w:tabs>
          <w:tab w:val="left" w:pos="7665"/>
        </w:tabs>
        <w:snapToGrid w:val="0"/>
        <w:spacing w:line="360" w:lineRule="auto"/>
        <w:ind w:firstLine="480" w:firstLineChars="200"/>
        <w:rPr>
          <w:rFonts w:eastAsia="宋体"/>
        </w:rPr>
      </w:pPr>
      <w:r>
        <w:rPr>
          <w:rFonts w:eastAsia="宋体"/>
        </w:rPr>
        <w:t xml:space="preserve">16.1 </w:t>
      </w:r>
      <w:r>
        <w:rPr>
          <w:rFonts w:hAnsi="宋体" w:eastAsia="宋体"/>
        </w:rPr>
        <w:t>投标有效期见投标须知前附表。投标有效期短于此规定期限的投标申请，将被拒绝。</w:t>
      </w:r>
    </w:p>
    <w:p>
      <w:pPr>
        <w:tabs>
          <w:tab w:val="left" w:pos="7665"/>
        </w:tabs>
        <w:snapToGrid w:val="0"/>
        <w:spacing w:line="360" w:lineRule="auto"/>
        <w:ind w:firstLine="480" w:firstLineChars="200"/>
        <w:rPr>
          <w:rFonts w:eastAsia="宋体"/>
        </w:rPr>
      </w:pPr>
      <w:r>
        <w:rPr>
          <w:rFonts w:eastAsia="宋体"/>
        </w:rPr>
        <w:t xml:space="preserve">16.2 </w:t>
      </w:r>
      <w:r>
        <w:rPr>
          <w:rFonts w:hAnsi="宋体" w:eastAsia="宋体"/>
        </w:rPr>
        <w:t>特殊情况下，招标人可于投标有效期满之前要求投标人同意延长有效期，要求与答复均应为书面形式。</w:t>
      </w:r>
    </w:p>
    <w:p>
      <w:pPr>
        <w:pStyle w:val="5"/>
        <w:tabs>
          <w:tab w:val="left" w:pos="4573"/>
        </w:tabs>
        <w:ind w:firstLine="480"/>
        <w:jc w:val="left"/>
        <w:rPr>
          <w:rFonts w:ascii="Times New Roman" w:hAnsi="Times New Roman" w:cs="Times New Roman"/>
          <w:b w:val="0"/>
          <w:szCs w:val="24"/>
        </w:rPr>
      </w:pPr>
      <w:bookmarkStart w:id="103" w:name="_Toc325464835"/>
      <w:bookmarkStart w:id="104" w:name="_Toc317509404"/>
      <w:bookmarkStart w:id="105" w:name="_Toc217446052"/>
      <w:bookmarkStart w:id="106" w:name="_Toc183582225"/>
      <w:bookmarkStart w:id="107" w:name="_Toc183682362"/>
      <w:bookmarkStart w:id="108" w:name="_Toc325096486"/>
      <w:bookmarkStart w:id="109" w:name="_Toc317509251"/>
      <w:r>
        <w:rPr>
          <w:rFonts w:ascii="Times New Roman" w:hAnsi="Times New Roman" w:cs="Times New Roman"/>
          <w:b w:val="0"/>
          <w:szCs w:val="24"/>
        </w:rPr>
        <w:t>17</w:t>
      </w:r>
      <w:r>
        <w:rPr>
          <w:rFonts w:ascii="Times New Roman" w:hAnsi="宋体" w:cs="Times New Roman"/>
          <w:b w:val="0"/>
          <w:szCs w:val="24"/>
        </w:rPr>
        <w:t>．投标文件的印制和签署</w:t>
      </w:r>
      <w:bookmarkEnd w:id="103"/>
      <w:bookmarkEnd w:id="104"/>
      <w:bookmarkEnd w:id="105"/>
      <w:bookmarkEnd w:id="106"/>
      <w:bookmarkEnd w:id="107"/>
      <w:bookmarkEnd w:id="108"/>
      <w:bookmarkEnd w:id="109"/>
    </w:p>
    <w:p>
      <w:pPr>
        <w:tabs>
          <w:tab w:val="left" w:pos="7665"/>
        </w:tabs>
        <w:snapToGrid w:val="0"/>
        <w:spacing w:line="360" w:lineRule="auto"/>
        <w:ind w:firstLine="480" w:firstLineChars="200"/>
        <w:rPr>
          <w:rFonts w:eastAsia="宋体"/>
        </w:rPr>
      </w:pPr>
      <w:r>
        <w:rPr>
          <w:rFonts w:eastAsia="宋体"/>
        </w:rPr>
        <w:t xml:space="preserve">17.1 </w:t>
      </w:r>
      <w:r>
        <w:rPr>
          <w:rFonts w:hAnsi="宋体" w:eastAsia="宋体"/>
        </w:rPr>
        <w:t>投标人应按</w:t>
      </w:r>
      <w:r>
        <w:rPr>
          <w:rFonts w:eastAsia="宋体"/>
        </w:rPr>
        <w:t>“</w:t>
      </w:r>
      <w:r>
        <w:rPr>
          <w:rFonts w:hAnsi="宋体" w:eastAsia="宋体"/>
        </w:rPr>
        <w:t>投标须知前附表</w:t>
      </w:r>
      <w:r>
        <w:rPr>
          <w:rFonts w:eastAsia="宋体"/>
        </w:rPr>
        <w:t>”</w:t>
      </w:r>
      <w:r>
        <w:rPr>
          <w:rFonts w:hAnsi="宋体" w:eastAsia="宋体"/>
        </w:rPr>
        <w:t>准备投标文件正本、副本。投标文件的正本和副本应在其封面右上角清楚地标明</w:t>
      </w:r>
      <w:r>
        <w:rPr>
          <w:rFonts w:eastAsia="宋体"/>
        </w:rPr>
        <w:t>“</w:t>
      </w:r>
      <w:r>
        <w:rPr>
          <w:rFonts w:hAnsi="宋体" w:eastAsia="宋体"/>
        </w:rPr>
        <w:t>正本</w:t>
      </w:r>
      <w:r>
        <w:rPr>
          <w:rFonts w:eastAsia="宋体"/>
        </w:rPr>
        <w:t>”</w:t>
      </w:r>
      <w:r>
        <w:rPr>
          <w:rFonts w:hAnsi="宋体" w:eastAsia="宋体"/>
        </w:rPr>
        <w:t>或</w:t>
      </w:r>
      <w:r>
        <w:rPr>
          <w:rFonts w:eastAsia="宋体"/>
        </w:rPr>
        <w:t>“</w:t>
      </w:r>
      <w:r>
        <w:rPr>
          <w:rFonts w:hAnsi="宋体" w:eastAsia="宋体"/>
        </w:rPr>
        <w:t>副本</w:t>
      </w:r>
      <w:r>
        <w:rPr>
          <w:rFonts w:eastAsia="宋体"/>
        </w:rPr>
        <w:t>”</w:t>
      </w:r>
      <w:r>
        <w:rPr>
          <w:rFonts w:hAnsi="宋体" w:eastAsia="宋体"/>
        </w:rPr>
        <w:t>字样。若正本和副本有不一致的内容，以正本书面投标文件为准。</w:t>
      </w:r>
    </w:p>
    <w:p>
      <w:pPr>
        <w:tabs>
          <w:tab w:val="left" w:pos="7665"/>
        </w:tabs>
        <w:snapToGrid w:val="0"/>
        <w:spacing w:line="360" w:lineRule="auto"/>
        <w:ind w:firstLine="480" w:firstLineChars="200"/>
        <w:rPr>
          <w:rFonts w:eastAsia="宋体"/>
        </w:rPr>
      </w:pPr>
      <w:r>
        <w:rPr>
          <w:rFonts w:eastAsia="宋体"/>
        </w:rPr>
        <w:t xml:space="preserve">17.2 </w:t>
      </w:r>
      <w:r>
        <w:rPr>
          <w:rFonts w:hAnsi="宋体" w:eastAsia="宋体"/>
        </w:rPr>
        <w:t>投标文件的正本和副本均需打印或用不褪色、不变质的墨水书写，并由投标人的法定代表人或其授权代表在规定签章处签字和盖鲜章。</w:t>
      </w:r>
    </w:p>
    <w:p>
      <w:pPr>
        <w:tabs>
          <w:tab w:val="left" w:pos="7665"/>
        </w:tabs>
        <w:snapToGrid w:val="0"/>
        <w:spacing w:line="360" w:lineRule="auto"/>
        <w:ind w:firstLine="480" w:firstLineChars="200"/>
        <w:rPr>
          <w:rFonts w:eastAsia="宋体"/>
        </w:rPr>
      </w:pPr>
      <w:r>
        <w:rPr>
          <w:rFonts w:eastAsia="宋体"/>
        </w:rPr>
        <w:t xml:space="preserve">17.3 </w:t>
      </w:r>
      <w:r>
        <w:rPr>
          <w:rFonts w:hAnsi="宋体" w:eastAsia="宋体"/>
        </w:rPr>
        <w:t>投标文件的打印和书写应清楚工整，任何行间插字、涂改或增删，必须由投标人的法定代表人或其授权代表签字或盖个人印鉴。字迹潦草、表达不清或可能导致非唯一理解的投标文件可能视为无效投标。</w:t>
      </w:r>
    </w:p>
    <w:p>
      <w:pPr>
        <w:tabs>
          <w:tab w:val="left" w:pos="7665"/>
        </w:tabs>
        <w:snapToGrid w:val="0"/>
        <w:spacing w:line="360" w:lineRule="auto"/>
        <w:ind w:firstLine="480" w:firstLineChars="200"/>
        <w:rPr>
          <w:rFonts w:eastAsia="宋体"/>
        </w:rPr>
      </w:pPr>
      <w:r>
        <w:rPr>
          <w:rFonts w:eastAsia="宋体"/>
        </w:rPr>
        <w:t xml:space="preserve">17.4 </w:t>
      </w:r>
      <w:r>
        <w:rPr>
          <w:rFonts w:hAnsi="宋体" w:eastAsia="宋体"/>
        </w:rPr>
        <w:t>投标文件应根据招标文件的要求制作，签署、盖章和内容应完整。</w:t>
      </w:r>
    </w:p>
    <w:p>
      <w:pPr>
        <w:tabs>
          <w:tab w:val="left" w:pos="7665"/>
        </w:tabs>
        <w:snapToGrid w:val="0"/>
        <w:spacing w:line="360" w:lineRule="auto"/>
        <w:ind w:firstLine="480" w:firstLineChars="200"/>
        <w:rPr>
          <w:rFonts w:eastAsia="宋体"/>
        </w:rPr>
      </w:pPr>
      <w:r>
        <w:rPr>
          <w:rFonts w:eastAsia="宋体"/>
        </w:rPr>
        <w:t xml:space="preserve">17.5 </w:t>
      </w:r>
      <w:r>
        <w:rPr>
          <w:rFonts w:hAnsi="宋体" w:eastAsia="宋体"/>
        </w:rPr>
        <w:t>投标文件统一用</w:t>
      </w:r>
      <w:r>
        <w:rPr>
          <w:rFonts w:eastAsia="宋体"/>
        </w:rPr>
        <w:t>A4</w:t>
      </w:r>
      <w:r>
        <w:rPr>
          <w:rFonts w:hAnsi="宋体" w:eastAsia="宋体"/>
        </w:rPr>
        <w:t>幅面纸印制。</w:t>
      </w:r>
    </w:p>
    <w:p>
      <w:pPr>
        <w:pStyle w:val="5"/>
        <w:tabs>
          <w:tab w:val="left" w:pos="4573"/>
        </w:tabs>
        <w:ind w:firstLine="480"/>
        <w:jc w:val="left"/>
        <w:rPr>
          <w:rFonts w:ascii="Times New Roman" w:hAnsi="Times New Roman" w:cs="Times New Roman"/>
          <w:b w:val="0"/>
          <w:szCs w:val="24"/>
        </w:rPr>
      </w:pPr>
      <w:bookmarkStart w:id="110" w:name="_Toc77400781"/>
      <w:bookmarkStart w:id="111" w:name="_Toc89075877"/>
      <w:bookmarkStart w:id="112" w:name="_Toc183682363"/>
      <w:bookmarkStart w:id="113" w:name="_Toc183582226"/>
      <w:bookmarkStart w:id="114" w:name="_Toc317509405"/>
      <w:bookmarkStart w:id="115" w:name="_Toc325464836"/>
      <w:bookmarkStart w:id="116" w:name="_Toc317509252"/>
      <w:bookmarkStart w:id="117" w:name="_Toc325096487"/>
      <w:bookmarkStart w:id="118" w:name="_Toc217446053"/>
      <w:r>
        <w:rPr>
          <w:rFonts w:ascii="Times New Roman" w:hAnsi="Times New Roman" w:cs="Times New Roman"/>
          <w:b w:val="0"/>
          <w:szCs w:val="24"/>
        </w:rPr>
        <w:t xml:space="preserve">18. </w:t>
      </w:r>
      <w:r>
        <w:rPr>
          <w:rFonts w:ascii="Times New Roman" w:hAnsi="宋体" w:cs="Times New Roman"/>
          <w:b w:val="0"/>
          <w:szCs w:val="24"/>
        </w:rPr>
        <w:t>投标文件的密封和标</w:t>
      </w:r>
      <w:bookmarkEnd w:id="110"/>
      <w:bookmarkEnd w:id="111"/>
      <w:bookmarkEnd w:id="112"/>
      <w:bookmarkEnd w:id="113"/>
      <w:r>
        <w:rPr>
          <w:rFonts w:ascii="Times New Roman" w:hAnsi="宋体" w:cs="Times New Roman"/>
          <w:b w:val="0"/>
          <w:szCs w:val="24"/>
        </w:rPr>
        <w:t>注</w:t>
      </w:r>
      <w:bookmarkEnd w:id="114"/>
      <w:bookmarkEnd w:id="115"/>
      <w:bookmarkEnd w:id="116"/>
      <w:bookmarkEnd w:id="117"/>
      <w:bookmarkEnd w:id="118"/>
    </w:p>
    <w:p>
      <w:pPr>
        <w:tabs>
          <w:tab w:val="left" w:pos="7665"/>
        </w:tabs>
        <w:snapToGrid w:val="0"/>
        <w:spacing w:line="360" w:lineRule="auto"/>
        <w:ind w:firstLine="480" w:firstLineChars="200"/>
        <w:rPr>
          <w:rFonts w:eastAsia="宋体"/>
        </w:rPr>
      </w:pPr>
      <w:r>
        <w:rPr>
          <w:rFonts w:eastAsia="宋体"/>
        </w:rPr>
        <w:t xml:space="preserve">18.1 </w:t>
      </w:r>
      <w:r>
        <w:rPr>
          <w:rFonts w:hAnsi="宋体" w:eastAsia="宋体"/>
        </w:rPr>
        <w:t>投标人应在投标文件正本和所有副本的封面上注明投标人名称、项目名称。</w:t>
      </w:r>
    </w:p>
    <w:p>
      <w:pPr>
        <w:tabs>
          <w:tab w:val="left" w:pos="7665"/>
        </w:tabs>
        <w:snapToGrid w:val="0"/>
        <w:spacing w:line="360" w:lineRule="auto"/>
        <w:ind w:firstLine="480" w:firstLineChars="200"/>
        <w:rPr>
          <w:rFonts w:eastAsia="宋体"/>
        </w:rPr>
      </w:pPr>
      <w:r>
        <w:rPr>
          <w:rFonts w:eastAsia="宋体"/>
        </w:rPr>
        <w:t xml:space="preserve">18.2 </w:t>
      </w:r>
      <w:r>
        <w:rPr>
          <w:rFonts w:hAnsi="宋体" w:eastAsia="宋体"/>
        </w:rPr>
        <w:t>投标文件正本、所有副本应分别封装于密封袋内，密封袋上应分别标上</w:t>
      </w:r>
      <w:r>
        <w:rPr>
          <w:rFonts w:eastAsia="宋体"/>
        </w:rPr>
        <w:t>“</w:t>
      </w:r>
      <w:r>
        <w:rPr>
          <w:rFonts w:hAnsi="宋体" w:eastAsia="宋体"/>
        </w:rPr>
        <w:t>正本</w:t>
      </w:r>
      <w:r>
        <w:rPr>
          <w:rFonts w:eastAsia="宋体"/>
        </w:rPr>
        <w:t>”</w:t>
      </w:r>
      <w:r>
        <w:rPr>
          <w:rFonts w:hAnsi="宋体" w:eastAsia="宋体"/>
        </w:rPr>
        <w:t>、</w:t>
      </w:r>
      <w:r>
        <w:rPr>
          <w:rFonts w:eastAsia="宋体"/>
        </w:rPr>
        <w:t>“</w:t>
      </w:r>
      <w:r>
        <w:rPr>
          <w:rFonts w:hAnsi="宋体" w:eastAsia="宋体"/>
        </w:rPr>
        <w:t>副本</w:t>
      </w:r>
      <w:r>
        <w:rPr>
          <w:rFonts w:eastAsia="宋体"/>
        </w:rPr>
        <w:t>”</w:t>
      </w:r>
      <w:r>
        <w:rPr>
          <w:rFonts w:hAnsi="宋体" w:eastAsia="宋体"/>
        </w:rPr>
        <w:t>字样，并注明投标人名称、项目名称。</w:t>
      </w:r>
    </w:p>
    <w:p>
      <w:pPr>
        <w:tabs>
          <w:tab w:val="left" w:pos="7665"/>
        </w:tabs>
        <w:snapToGrid w:val="0"/>
        <w:spacing w:line="360" w:lineRule="auto"/>
        <w:ind w:firstLine="480" w:firstLineChars="200"/>
        <w:rPr>
          <w:rFonts w:eastAsia="宋体"/>
        </w:rPr>
      </w:pPr>
      <w:r>
        <w:rPr>
          <w:rFonts w:eastAsia="宋体"/>
        </w:rPr>
        <w:t xml:space="preserve">18.3 </w:t>
      </w:r>
      <w:r>
        <w:rPr>
          <w:rFonts w:hAnsi="宋体" w:eastAsia="宋体"/>
        </w:rPr>
        <w:t>所有外层密封袋的封口处应粘贴牢固，密封袋上注明投标人名称、项目名称、及招标日期，并加盖密封章</w:t>
      </w:r>
      <w:r>
        <w:rPr>
          <w:rFonts w:eastAsia="宋体"/>
        </w:rPr>
        <w:t>(</w:t>
      </w:r>
      <w:r>
        <w:rPr>
          <w:rFonts w:hAnsi="宋体" w:eastAsia="宋体"/>
        </w:rPr>
        <w:t>投标人公章</w:t>
      </w:r>
      <w:r>
        <w:rPr>
          <w:rFonts w:eastAsia="宋体"/>
        </w:rPr>
        <w:t>)</w:t>
      </w:r>
      <w:r>
        <w:rPr>
          <w:rFonts w:hAnsi="宋体" w:eastAsia="宋体"/>
        </w:rPr>
        <w:t>。</w:t>
      </w:r>
    </w:p>
    <w:p>
      <w:pPr>
        <w:tabs>
          <w:tab w:val="left" w:pos="7665"/>
        </w:tabs>
        <w:snapToGrid w:val="0"/>
        <w:spacing w:line="360" w:lineRule="auto"/>
        <w:ind w:firstLine="480" w:firstLineChars="200"/>
        <w:rPr>
          <w:rFonts w:eastAsia="宋体"/>
        </w:rPr>
      </w:pPr>
      <w:r>
        <w:rPr>
          <w:rFonts w:eastAsia="宋体"/>
        </w:rPr>
        <w:t xml:space="preserve">18.4 </w:t>
      </w:r>
      <w:r>
        <w:rPr>
          <w:rFonts w:hAnsi="宋体" w:eastAsia="宋体"/>
        </w:rPr>
        <w:t>未按以上要求进行密封和标注的投标文件将被拒绝。</w:t>
      </w:r>
    </w:p>
    <w:p>
      <w:pPr>
        <w:pStyle w:val="5"/>
        <w:tabs>
          <w:tab w:val="left" w:pos="4573"/>
        </w:tabs>
        <w:ind w:firstLine="480"/>
        <w:jc w:val="left"/>
        <w:rPr>
          <w:rFonts w:ascii="Times New Roman" w:hAnsi="Times New Roman" w:cs="Times New Roman"/>
          <w:b w:val="0"/>
          <w:szCs w:val="24"/>
        </w:rPr>
      </w:pPr>
      <w:bookmarkStart w:id="119" w:name="_Toc325096488"/>
      <w:bookmarkStart w:id="120" w:name="_Toc317509253"/>
      <w:bookmarkStart w:id="121" w:name="_Toc317509406"/>
      <w:bookmarkStart w:id="122" w:name="_Toc325464837"/>
      <w:r>
        <w:rPr>
          <w:rFonts w:ascii="Times New Roman" w:hAnsi="Times New Roman" w:cs="Times New Roman"/>
          <w:b w:val="0"/>
          <w:szCs w:val="24"/>
        </w:rPr>
        <w:t xml:space="preserve">19. </w:t>
      </w:r>
      <w:r>
        <w:rPr>
          <w:rFonts w:ascii="Times New Roman" w:hAnsi="宋体" w:cs="Times New Roman"/>
          <w:b w:val="0"/>
          <w:szCs w:val="24"/>
        </w:rPr>
        <w:t>投标文件的递交</w:t>
      </w:r>
      <w:bookmarkEnd w:id="119"/>
      <w:bookmarkEnd w:id="120"/>
      <w:bookmarkEnd w:id="121"/>
      <w:bookmarkEnd w:id="122"/>
    </w:p>
    <w:p>
      <w:pPr>
        <w:tabs>
          <w:tab w:val="left" w:pos="7665"/>
        </w:tabs>
        <w:snapToGrid w:val="0"/>
        <w:spacing w:line="360" w:lineRule="auto"/>
        <w:ind w:firstLine="480" w:firstLineChars="200"/>
        <w:rPr>
          <w:rFonts w:eastAsia="宋体"/>
        </w:rPr>
      </w:pPr>
      <w:r>
        <w:rPr>
          <w:rFonts w:eastAsia="宋体"/>
        </w:rPr>
        <w:t xml:space="preserve">19.1 </w:t>
      </w:r>
      <w:r>
        <w:rPr>
          <w:rFonts w:hAnsi="宋体" w:eastAsia="宋体"/>
        </w:rPr>
        <w:t>投标人应在招标文件规定的时间和地点递交投标文件；</w:t>
      </w:r>
    </w:p>
    <w:p>
      <w:pPr>
        <w:tabs>
          <w:tab w:val="left" w:pos="7665"/>
        </w:tabs>
        <w:snapToGrid w:val="0"/>
        <w:spacing w:line="360" w:lineRule="auto"/>
        <w:ind w:firstLine="480" w:firstLineChars="200"/>
        <w:rPr>
          <w:rFonts w:eastAsia="宋体"/>
        </w:rPr>
      </w:pPr>
      <w:r>
        <w:rPr>
          <w:rFonts w:eastAsia="宋体"/>
        </w:rPr>
        <w:t xml:space="preserve">19.2 </w:t>
      </w:r>
      <w:r>
        <w:rPr>
          <w:rFonts w:hAnsi="宋体" w:eastAsia="宋体"/>
        </w:rPr>
        <w:t>本次招标不接受邮寄的投标文件。</w:t>
      </w:r>
    </w:p>
    <w:p>
      <w:pPr>
        <w:pStyle w:val="5"/>
        <w:tabs>
          <w:tab w:val="left" w:pos="4573"/>
        </w:tabs>
        <w:ind w:firstLine="480"/>
        <w:jc w:val="left"/>
        <w:rPr>
          <w:rFonts w:ascii="Times New Roman" w:hAnsi="Times New Roman" w:cs="Times New Roman"/>
          <w:b w:val="0"/>
          <w:szCs w:val="24"/>
        </w:rPr>
      </w:pPr>
      <w:bookmarkStart w:id="123" w:name="_Toc317509408"/>
      <w:bookmarkStart w:id="124" w:name="_Toc317509255"/>
      <w:bookmarkStart w:id="125" w:name="_Toc325096490"/>
      <w:bookmarkStart w:id="126" w:name="_Toc325464839"/>
      <w:bookmarkStart w:id="127" w:name="_Toc217446059"/>
      <w:r>
        <w:rPr>
          <w:rFonts w:ascii="Times New Roman" w:hAnsi="Times New Roman" w:cs="Times New Roman"/>
          <w:b w:val="0"/>
          <w:szCs w:val="24"/>
        </w:rPr>
        <w:t>20.</w:t>
      </w:r>
      <w:r>
        <w:rPr>
          <w:rFonts w:ascii="Times New Roman" w:hAnsi="宋体" w:cs="Times New Roman"/>
          <w:b w:val="0"/>
          <w:szCs w:val="24"/>
        </w:rPr>
        <w:t>招标流程</w:t>
      </w:r>
      <w:bookmarkEnd w:id="123"/>
      <w:bookmarkEnd w:id="124"/>
      <w:bookmarkEnd w:id="125"/>
      <w:bookmarkEnd w:id="126"/>
    </w:p>
    <w:bookmarkEnd w:id="127"/>
    <w:p>
      <w:pPr>
        <w:tabs>
          <w:tab w:val="left" w:pos="7665"/>
        </w:tabs>
        <w:snapToGrid w:val="0"/>
        <w:spacing w:line="360" w:lineRule="auto"/>
        <w:ind w:firstLine="480" w:firstLineChars="200"/>
        <w:rPr>
          <w:rFonts w:eastAsia="宋体"/>
        </w:rPr>
      </w:pPr>
      <w:bookmarkStart w:id="128" w:name="_Toc217446060"/>
      <w:r>
        <w:rPr>
          <w:rFonts w:eastAsia="宋体"/>
        </w:rPr>
        <w:t xml:space="preserve">20.1 </w:t>
      </w:r>
      <w:r>
        <w:rPr>
          <w:rFonts w:hAnsi="宋体" w:eastAsia="宋体"/>
        </w:rPr>
        <w:t>招标按招标文件规定的时间和地点进行。投标人须有法人或法人授权代表参加并签到，并对所递交的投标文件进行密封性检查和签字确认。</w:t>
      </w:r>
    </w:p>
    <w:p>
      <w:pPr>
        <w:tabs>
          <w:tab w:val="left" w:pos="7665"/>
        </w:tabs>
        <w:snapToGrid w:val="0"/>
        <w:spacing w:line="360" w:lineRule="auto"/>
        <w:ind w:firstLine="480" w:firstLineChars="200"/>
        <w:rPr>
          <w:rFonts w:eastAsia="宋体"/>
        </w:rPr>
      </w:pPr>
      <w:r>
        <w:rPr>
          <w:rFonts w:eastAsia="宋体"/>
        </w:rPr>
        <w:t xml:space="preserve">20.2 </w:t>
      </w:r>
      <w:r>
        <w:rPr>
          <w:rFonts w:hAnsi="宋体" w:eastAsia="宋体"/>
        </w:rPr>
        <w:t>评审委员会对投标人提交的投标文件进行符合性评审、资格审查；</w:t>
      </w:r>
    </w:p>
    <w:p>
      <w:pPr>
        <w:tabs>
          <w:tab w:val="left" w:pos="7665"/>
        </w:tabs>
        <w:snapToGrid w:val="0"/>
        <w:spacing w:line="360" w:lineRule="auto"/>
        <w:ind w:firstLine="480" w:firstLineChars="200"/>
        <w:rPr>
          <w:rFonts w:eastAsia="宋体"/>
        </w:rPr>
      </w:pPr>
      <w:r>
        <w:rPr>
          <w:rFonts w:eastAsia="宋体"/>
        </w:rPr>
        <w:t xml:space="preserve">20.3 </w:t>
      </w:r>
      <w:r>
        <w:rPr>
          <w:rFonts w:hAnsi="宋体" w:eastAsia="宋体"/>
        </w:rPr>
        <w:t>评审委员会按照投标人中报价最低的原则或综合得分最高的原则，推荐中标候选人。</w:t>
      </w:r>
    </w:p>
    <w:p>
      <w:pPr>
        <w:tabs>
          <w:tab w:val="left" w:pos="7665"/>
        </w:tabs>
        <w:snapToGrid w:val="0"/>
        <w:spacing w:line="360" w:lineRule="auto"/>
        <w:ind w:firstLine="480" w:firstLineChars="200"/>
        <w:rPr>
          <w:rFonts w:eastAsia="宋体"/>
        </w:rPr>
      </w:pPr>
      <w:r>
        <w:rPr>
          <w:rFonts w:eastAsia="宋体"/>
        </w:rPr>
        <w:t xml:space="preserve">20.4 </w:t>
      </w:r>
      <w:r>
        <w:rPr>
          <w:rFonts w:hAnsi="宋体" w:eastAsia="宋体"/>
        </w:rPr>
        <w:t>招标人按照评审委员会推荐中标候选人的顺序确定中标人。</w:t>
      </w:r>
    </w:p>
    <w:p>
      <w:pPr>
        <w:pStyle w:val="5"/>
        <w:tabs>
          <w:tab w:val="left" w:pos="4573"/>
        </w:tabs>
        <w:ind w:firstLine="480"/>
        <w:jc w:val="left"/>
        <w:rPr>
          <w:rFonts w:ascii="Times New Roman" w:hAnsi="Times New Roman" w:cs="Times New Roman"/>
          <w:b w:val="0"/>
          <w:szCs w:val="24"/>
        </w:rPr>
      </w:pPr>
      <w:r>
        <w:rPr>
          <w:rFonts w:ascii="Times New Roman" w:hAnsi="Times New Roman" w:cs="Times New Roman"/>
          <w:b w:val="0"/>
          <w:szCs w:val="24"/>
        </w:rPr>
        <w:t>21.</w:t>
      </w:r>
      <w:r>
        <w:rPr>
          <w:rFonts w:ascii="Times New Roman" w:hAnsi="宋体" w:cs="Times New Roman"/>
          <w:b w:val="0"/>
          <w:szCs w:val="24"/>
        </w:rPr>
        <w:t>投标文件的修改</w:t>
      </w:r>
    </w:p>
    <w:p>
      <w:pPr>
        <w:tabs>
          <w:tab w:val="left" w:pos="7665"/>
        </w:tabs>
        <w:snapToGrid w:val="0"/>
        <w:spacing w:line="360" w:lineRule="auto"/>
        <w:ind w:firstLine="480" w:firstLineChars="200"/>
        <w:rPr>
          <w:rFonts w:eastAsia="宋体"/>
        </w:rPr>
      </w:pPr>
      <w:r>
        <w:rPr>
          <w:rFonts w:eastAsia="宋体"/>
        </w:rPr>
        <w:t xml:space="preserve">21.1 </w:t>
      </w:r>
      <w:r>
        <w:rPr>
          <w:rFonts w:hAnsi="宋体" w:eastAsia="宋体"/>
        </w:rPr>
        <w:t>投标人在招标过程中所签署的书面的澄清或者说明、经投标人确认的修正后报价均为投标文件的组成部分。</w:t>
      </w:r>
    </w:p>
    <w:bookmarkEnd w:id="128"/>
    <w:p>
      <w:pPr>
        <w:pStyle w:val="5"/>
        <w:tabs>
          <w:tab w:val="left" w:pos="4573"/>
        </w:tabs>
        <w:ind w:firstLine="480"/>
        <w:jc w:val="left"/>
        <w:rPr>
          <w:rFonts w:ascii="Times New Roman" w:hAnsi="Times New Roman" w:cs="Times New Roman"/>
          <w:b w:val="0"/>
          <w:szCs w:val="24"/>
        </w:rPr>
      </w:pPr>
      <w:bookmarkStart w:id="129" w:name="_Toc317509257"/>
      <w:bookmarkStart w:id="130" w:name="_Toc325096492"/>
      <w:bookmarkStart w:id="131" w:name="_Toc317509410"/>
      <w:bookmarkStart w:id="132" w:name="_Toc325464841"/>
      <w:bookmarkStart w:id="133" w:name="_Toc217446061"/>
      <w:r>
        <w:rPr>
          <w:rFonts w:ascii="Times New Roman" w:hAnsi="Times New Roman" w:cs="Times New Roman"/>
          <w:b w:val="0"/>
          <w:szCs w:val="24"/>
        </w:rPr>
        <w:t xml:space="preserve">22. </w:t>
      </w:r>
      <w:r>
        <w:rPr>
          <w:rFonts w:ascii="Times New Roman" w:hAnsi="宋体" w:cs="Times New Roman"/>
          <w:b w:val="0"/>
          <w:szCs w:val="24"/>
        </w:rPr>
        <w:t>定标原则</w:t>
      </w:r>
      <w:bookmarkEnd w:id="129"/>
      <w:bookmarkEnd w:id="130"/>
      <w:bookmarkEnd w:id="131"/>
      <w:bookmarkEnd w:id="132"/>
      <w:bookmarkEnd w:id="133"/>
    </w:p>
    <w:p>
      <w:pPr>
        <w:tabs>
          <w:tab w:val="left" w:pos="7665"/>
        </w:tabs>
        <w:snapToGrid w:val="0"/>
        <w:spacing w:line="360" w:lineRule="auto"/>
        <w:ind w:firstLine="480" w:firstLineChars="200"/>
        <w:rPr>
          <w:rFonts w:eastAsia="宋体"/>
        </w:rPr>
      </w:pPr>
      <w:r>
        <w:rPr>
          <w:rFonts w:hAnsi="宋体" w:eastAsia="宋体"/>
        </w:rPr>
        <w:t>根据评审委员会推荐的中标候选人名单，按顺序确定中标人。</w:t>
      </w:r>
    </w:p>
    <w:p>
      <w:pPr>
        <w:pStyle w:val="5"/>
        <w:tabs>
          <w:tab w:val="left" w:pos="4573"/>
        </w:tabs>
        <w:ind w:firstLine="480"/>
        <w:jc w:val="left"/>
        <w:rPr>
          <w:rFonts w:ascii="Times New Roman" w:hAnsi="Times New Roman" w:cs="Times New Roman"/>
          <w:b w:val="0"/>
          <w:szCs w:val="24"/>
        </w:rPr>
      </w:pPr>
      <w:bookmarkStart w:id="134" w:name="_Toc325464842"/>
      <w:bookmarkStart w:id="135" w:name="_Toc317509411"/>
      <w:bookmarkStart w:id="136" w:name="_Toc325096493"/>
      <w:bookmarkStart w:id="137" w:name="_Toc317509258"/>
      <w:bookmarkStart w:id="138" w:name="_Toc217446062"/>
      <w:r>
        <w:rPr>
          <w:rFonts w:ascii="Times New Roman" w:hAnsi="Times New Roman" w:cs="Times New Roman"/>
          <w:b w:val="0"/>
          <w:szCs w:val="24"/>
        </w:rPr>
        <w:t xml:space="preserve">23. </w:t>
      </w:r>
      <w:r>
        <w:rPr>
          <w:rFonts w:ascii="Times New Roman" w:hAnsi="宋体" w:cs="Times New Roman"/>
          <w:b w:val="0"/>
          <w:szCs w:val="24"/>
        </w:rPr>
        <w:t>定标程序</w:t>
      </w:r>
      <w:bookmarkEnd w:id="134"/>
      <w:bookmarkEnd w:id="135"/>
      <w:bookmarkEnd w:id="136"/>
      <w:bookmarkEnd w:id="137"/>
      <w:bookmarkEnd w:id="138"/>
    </w:p>
    <w:p>
      <w:pPr>
        <w:tabs>
          <w:tab w:val="left" w:pos="7665"/>
        </w:tabs>
        <w:snapToGrid w:val="0"/>
        <w:spacing w:line="360" w:lineRule="auto"/>
        <w:ind w:firstLine="480" w:firstLineChars="200"/>
        <w:rPr>
          <w:rFonts w:eastAsia="宋体"/>
        </w:rPr>
      </w:pPr>
      <w:r>
        <w:rPr>
          <w:rFonts w:eastAsia="宋体"/>
        </w:rPr>
        <w:t xml:space="preserve">23.1 </w:t>
      </w:r>
      <w:r>
        <w:rPr>
          <w:rFonts w:hAnsi="宋体" w:eastAsia="宋体"/>
        </w:rPr>
        <w:t>评审委员会将评审情况写出书面报告，推荐中标候选人，并标明排列顺序。</w:t>
      </w:r>
    </w:p>
    <w:p>
      <w:pPr>
        <w:tabs>
          <w:tab w:val="left" w:pos="7665"/>
        </w:tabs>
        <w:snapToGrid w:val="0"/>
        <w:spacing w:line="360" w:lineRule="auto"/>
        <w:ind w:firstLine="480" w:firstLineChars="200"/>
        <w:rPr>
          <w:rFonts w:eastAsia="宋体"/>
        </w:rPr>
      </w:pPr>
      <w:r>
        <w:rPr>
          <w:rFonts w:eastAsia="宋体"/>
        </w:rPr>
        <w:t xml:space="preserve">23.2 </w:t>
      </w:r>
      <w:r>
        <w:rPr>
          <w:rFonts w:hAnsi="宋体" w:eastAsia="宋体"/>
        </w:rPr>
        <w:t>招标人在收到评标报告后五个工作日内，按照评标报告中推荐的中标候选人顺序依据第三章评标办法再确定最终实际中标人。</w:t>
      </w:r>
    </w:p>
    <w:p>
      <w:pPr>
        <w:tabs>
          <w:tab w:val="left" w:pos="7665"/>
        </w:tabs>
        <w:snapToGrid w:val="0"/>
        <w:spacing w:line="360" w:lineRule="auto"/>
        <w:ind w:firstLine="480" w:firstLineChars="200"/>
        <w:rPr>
          <w:rFonts w:eastAsia="宋体"/>
          <w:color w:val="FF0000"/>
        </w:rPr>
      </w:pPr>
      <w:r>
        <w:rPr>
          <w:rFonts w:eastAsia="宋体"/>
        </w:rPr>
        <w:t>23.3</w:t>
      </w:r>
      <w:r>
        <w:rPr>
          <w:rFonts w:hAnsi="宋体" w:eastAsia="宋体"/>
        </w:rPr>
        <w:t>招标人将中标结果通知参加投标的所有投标人。招标人不解释中标或落选原因，不退回投标文件和其他投标申请资料。</w:t>
      </w:r>
    </w:p>
    <w:p>
      <w:pPr>
        <w:pStyle w:val="5"/>
        <w:tabs>
          <w:tab w:val="left" w:pos="4573"/>
        </w:tabs>
        <w:ind w:firstLine="480"/>
        <w:jc w:val="left"/>
        <w:rPr>
          <w:rFonts w:ascii="Times New Roman" w:hAnsi="Times New Roman" w:cs="Times New Roman"/>
          <w:b w:val="0"/>
          <w:szCs w:val="24"/>
        </w:rPr>
      </w:pPr>
      <w:bookmarkStart w:id="139" w:name="_Toc183582238"/>
      <w:bookmarkStart w:id="140" w:name="_Toc183682375"/>
      <w:bookmarkStart w:id="141" w:name="_Toc317509259"/>
      <w:bookmarkStart w:id="142" w:name="_Toc325096494"/>
      <w:bookmarkStart w:id="143" w:name="_Toc325464843"/>
      <w:bookmarkStart w:id="144" w:name="_Toc217446063"/>
      <w:bookmarkStart w:id="145" w:name="_Toc317509412"/>
      <w:r>
        <w:rPr>
          <w:rFonts w:ascii="Times New Roman" w:hAnsi="Times New Roman" w:cs="Times New Roman"/>
          <w:b w:val="0"/>
          <w:szCs w:val="24"/>
        </w:rPr>
        <w:t>24</w:t>
      </w:r>
      <w:r>
        <w:rPr>
          <w:rFonts w:ascii="Times New Roman" w:hAnsi="宋体" w:cs="Times New Roman"/>
          <w:b w:val="0"/>
          <w:szCs w:val="24"/>
        </w:rPr>
        <w:t>．中标通知</w:t>
      </w:r>
      <w:bookmarkEnd w:id="139"/>
      <w:bookmarkEnd w:id="140"/>
      <w:r>
        <w:rPr>
          <w:rFonts w:ascii="Times New Roman" w:hAnsi="宋体" w:cs="Times New Roman"/>
          <w:b w:val="0"/>
          <w:szCs w:val="24"/>
        </w:rPr>
        <w:t>书</w:t>
      </w:r>
      <w:bookmarkEnd w:id="141"/>
      <w:bookmarkEnd w:id="142"/>
      <w:bookmarkEnd w:id="143"/>
      <w:bookmarkEnd w:id="144"/>
      <w:bookmarkEnd w:id="145"/>
    </w:p>
    <w:p>
      <w:pPr>
        <w:tabs>
          <w:tab w:val="left" w:pos="7665"/>
        </w:tabs>
        <w:snapToGrid w:val="0"/>
        <w:spacing w:line="360" w:lineRule="auto"/>
        <w:ind w:firstLine="480" w:firstLineChars="200"/>
        <w:rPr>
          <w:rFonts w:eastAsia="宋体"/>
        </w:rPr>
      </w:pPr>
      <w:r>
        <w:rPr>
          <w:rFonts w:eastAsia="宋体"/>
        </w:rPr>
        <w:t xml:space="preserve">24.1 </w:t>
      </w:r>
      <w:r>
        <w:rPr>
          <w:rFonts w:hAnsi="宋体" w:eastAsia="宋体"/>
        </w:rPr>
        <w:t>中标通知书为签订合同的依据，是合同的有效组成部分。</w:t>
      </w:r>
    </w:p>
    <w:p>
      <w:pPr>
        <w:tabs>
          <w:tab w:val="left" w:pos="7665"/>
        </w:tabs>
        <w:snapToGrid w:val="0"/>
        <w:spacing w:line="360" w:lineRule="auto"/>
        <w:ind w:firstLine="480" w:firstLineChars="200"/>
        <w:rPr>
          <w:rFonts w:eastAsia="宋体"/>
        </w:rPr>
      </w:pPr>
      <w:r>
        <w:rPr>
          <w:rFonts w:eastAsia="宋体"/>
        </w:rPr>
        <w:t xml:space="preserve">24.2 </w:t>
      </w:r>
      <w:r>
        <w:rPr>
          <w:rFonts w:hAnsi="宋体" w:eastAsia="宋体"/>
        </w:rPr>
        <w:t>中标通知书对招标人和中标人均具有法律效力。中标通知书发出后，招标人改变中标结果，或者中标人无正当理由放弃中标的，应当承担相应的法律责任。</w:t>
      </w:r>
    </w:p>
    <w:p>
      <w:pPr>
        <w:tabs>
          <w:tab w:val="left" w:pos="7665"/>
        </w:tabs>
        <w:snapToGrid w:val="0"/>
        <w:spacing w:line="360" w:lineRule="auto"/>
        <w:ind w:firstLine="480" w:firstLineChars="200"/>
        <w:rPr>
          <w:rFonts w:eastAsia="宋体"/>
        </w:rPr>
      </w:pPr>
      <w:r>
        <w:rPr>
          <w:rFonts w:eastAsia="宋体"/>
        </w:rPr>
        <w:t>24.3</w:t>
      </w:r>
      <w:r>
        <w:rPr>
          <w:rFonts w:hAnsi="宋体" w:eastAsia="宋体"/>
        </w:rPr>
        <w:t>中标人的投标文件本应作为无效招标处理或者有法律法规规章制度规定的中标无效情形的，招标人在取得有权主体的认定以后，应当宣布发出的中标通知书无效，并收回发出的中标通知书</w:t>
      </w:r>
      <w:r>
        <w:rPr>
          <w:rFonts w:eastAsia="宋体"/>
        </w:rPr>
        <w:t>(</w:t>
      </w:r>
      <w:r>
        <w:rPr>
          <w:rFonts w:hAnsi="宋体" w:eastAsia="宋体"/>
        </w:rPr>
        <w:t>中标人也应当缴回</w:t>
      </w:r>
      <w:r>
        <w:rPr>
          <w:rFonts w:eastAsia="宋体"/>
        </w:rPr>
        <w:t>)</w:t>
      </w:r>
      <w:r>
        <w:rPr>
          <w:rFonts w:hAnsi="宋体" w:eastAsia="宋体"/>
        </w:rPr>
        <w:t>，依法重新确定中标人或者重新开展招标活动。</w:t>
      </w:r>
    </w:p>
    <w:p>
      <w:pPr>
        <w:pStyle w:val="5"/>
        <w:tabs>
          <w:tab w:val="left" w:pos="4573"/>
        </w:tabs>
        <w:ind w:firstLine="480"/>
        <w:jc w:val="left"/>
        <w:rPr>
          <w:rFonts w:ascii="Times New Roman" w:hAnsi="Times New Roman" w:cs="Times New Roman"/>
          <w:b w:val="0"/>
          <w:szCs w:val="24"/>
        </w:rPr>
      </w:pPr>
      <w:bookmarkStart w:id="146" w:name="_Toc317509414"/>
      <w:bookmarkStart w:id="147" w:name="_Toc325464845"/>
      <w:bookmarkStart w:id="148" w:name="_Toc325096496"/>
      <w:bookmarkStart w:id="149" w:name="_Toc217446065"/>
      <w:bookmarkStart w:id="150" w:name="_Toc317509261"/>
      <w:bookmarkStart w:id="151" w:name="_Toc183582240"/>
      <w:bookmarkStart w:id="152" w:name="_Toc183682377"/>
      <w:r>
        <w:rPr>
          <w:rFonts w:ascii="Times New Roman" w:hAnsi="Times New Roman" w:cs="Times New Roman"/>
          <w:b w:val="0"/>
          <w:szCs w:val="24"/>
        </w:rPr>
        <w:t xml:space="preserve">25. </w:t>
      </w:r>
      <w:r>
        <w:rPr>
          <w:rFonts w:ascii="Times New Roman" w:hAnsi="宋体" w:cs="Times New Roman"/>
          <w:b w:val="0"/>
          <w:szCs w:val="24"/>
        </w:rPr>
        <w:t>签订合同</w:t>
      </w:r>
      <w:bookmarkEnd w:id="146"/>
      <w:bookmarkEnd w:id="147"/>
      <w:bookmarkEnd w:id="148"/>
      <w:bookmarkEnd w:id="149"/>
      <w:bookmarkEnd w:id="150"/>
    </w:p>
    <w:p>
      <w:pPr>
        <w:tabs>
          <w:tab w:val="left" w:pos="7665"/>
        </w:tabs>
        <w:snapToGrid w:val="0"/>
        <w:spacing w:line="360" w:lineRule="auto"/>
        <w:ind w:firstLine="480" w:firstLineChars="200"/>
        <w:rPr>
          <w:rFonts w:eastAsia="宋体"/>
        </w:rPr>
      </w:pPr>
      <w:r>
        <w:rPr>
          <w:rFonts w:eastAsia="宋体"/>
        </w:rPr>
        <w:t xml:space="preserve">25.1 </w:t>
      </w:r>
      <w:r>
        <w:rPr>
          <w:rFonts w:hAnsi="宋体" w:eastAsia="宋体"/>
        </w:rPr>
        <w:t>中标人在收到招标人发出的中标通知书后，应自中标通知书发出之日起</w:t>
      </w:r>
      <w:r>
        <w:rPr>
          <w:rFonts w:eastAsia="宋体"/>
        </w:rPr>
        <w:t>30</w:t>
      </w:r>
      <w:r>
        <w:rPr>
          <w:rFonts w:hAnsi="宋体" w:eastAsia="宋体"/>
        </w:rPr>
        <w:t>日内与招标人签订合同。由于中标人的原因逾期未与招标人签订合同的，将视为放弃中标，取消其中标资格并将按相关规定进行处理。</w:t>
      </w:r>
    </w:p>
    <w:p>
      <w:pPr>
        <w:tabs>
          <w:tab w:val="left" w:pos="7665"/>
        </w:tabs>
        <w:snapToGrid w:val="0"/>
        <w:spacing w:line="360" w:lineRule="auto"/>
        <w:ind w:firstLine="480" w:firstLineChars="200"/>
        <w:rPr>
          <w:rFonts w:eastAsia="宋体"/>
        </w:rPr>
      </w:pPr>
      <w:r>
        <w:rPr>
          <w:rFonts w:eastAsia="宋体"/>
        </w:rPr>
        <w:t xml:space="preserve">25.2 </w:t>
      </w:r>
      <w:r>
        <w:rPr>
          <w:rFonts w:hAnsi="宋体" w:eastAsia="宋体"/>
        </w:rPr>
        <w:t>招标人不得向中标人提出任何不合理的要求，作为签订合同的条件，不得与中标人私下订立背离合同实质性内容的任何协议，所签订的合同不得对招标文件和中标人投标文件作实质性修改。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eastAsia="宋体"/>
        </w:rPr>
      </w:pPr>
      <w:r>
        <w:rPr>
          <w:rFonts w:eastAsia="宋体"/>
        </w:rPr>
        <w:t xml:space="preserve">25.3 </w:t>
      </w:r>
      <w:r>
        <w:rPr>
          <w:rFonts w:hAnsi="宋体" w:eastAsia="宋体"/>
        </w:rPr>
        <w:t>中标人因不可抗力原因不能履行合同或放弃中标的，招标人可以与排在中标人之后第一位的中标候选人签订合同，以此类推。</w:t>
      </w:r>
    </w:p>
    <w:p>
      <w:pPr>
        <w:pStyle w:val="5"/>
        <w:tabs>
          <w:tab w:val="left" w:pos="4573"/>
        </w:tabs>
        <w:ind w:firstLine="480"/>
        <w:jc w:val="left"/>
        <w:rPr>
          <w:rFonts w:ascii="Times New Roman" w:hAnsi="Times New Roman" w:cs="Times New Roman"/>
          <w:b w:val="0"/>
          <w:szCs w:val="24"/>
        </w:rPr>
      </w:pPr>
      <w:bookmarkStart w:id="153" w:name="_Toc317509264"/>
      <w:bookmarkStart w:id="154" w:name="_Toc217446069"/>
      <w:bookmarkStart w:id="155" w:name="_Toc325096498"/>
      <w:bookmarkStart w:id="156" w:name="_Toc325464847"/>
      <w:bookmarkStart w:id="157" w:name="_Toc317509417"/>
      <w:r>
        <w:rPr>
          <w:rFonts w:ascii="Times New Roman" w:hAnsi="Times New Roman" w:cs="Times New Roman"/>
          <w:b w:val="0"/>
          <w:szCs w:val="24"/>
        </w:rPr>
        <w:t xml:space="preserve">26. </w:t>
      </w:r>
      <w:r>
        <w:rPr>
          <w:rFonts w:ascii="Times New Roman" w:hAnsi="宋体" w:cs="Times New Roman"/>
          <w:b w:val="0"/>
          <w:szCs w:val="24"/>
        </w:rPr>
        <w:t>履行合同</w:t>
      </w:r>
      <w:bookmarkEnd w:id="153"/>
      <w:bookmarkEnd w:id="154"/>
      <w:bookmarkEnd w:id="155"/>
      <w:bookmarkEnd w:id="156"/>
      <w:bookmarkEnd w:id="157"/>
    </w:p>
    <w:p>
      <w:pPr>
        <w:tabs>
          <w:tab w:val="left" w:pos="7665"/>
        </w:tabs>
        <w:snapToGrid w:val="0"/>
        <w:spacing w:line="360" w:lineRule="auto"/>
        <w:ind w:firstLine="480" w:firstLineChars="200"/>
        <w:rPr>
          <w:rFonts w:eastAsia="宋体"/>
        </w:rPr>
      </w:pPr>
      <w:r>
        <w:rPr>
          <w:rFonts w:eastAsia="宋体"/>
        </w:rPr>
        <w:t xml:space="preserve">26.1 </w:t>
      </w:r>
      <w:r>
        <w:rPr>
          <w:rFonts w:hAnsi="宋体" w:eastAsia="宋体"/>
        </w:rPr>
        <w:t>中标人与招标人签订合同后，合同双方应严格执行合同条款，履行合同规定的义务，保证合同的顺利完成。</w:t>
      </w:r>
    </w:p>
    <w:p>
      <w:pPr>
        <w:tabs>
          <w:tab w:val="left" w:pos="7665"/>
        </w:tabs>
        <w:snapToGrid w:val="0"/>
        <w:spacing w:line="360" w:lineRule="auto"/>
        <w:ind w:firstLine="480" w:firstLineChars="200"/>
        <w:rPr>
          <w:rFonts w:eastAsia="宋体"/>
        </w:rPr>
      </w:pPr>
      <w:r>
        <w:rPr>
          <w:rFonts w:eastAsia="宋体"/>
        </w:rPr>
        <w:t xml:space="preserve">26.2 </w:t>
      </w:r>
      <w:r>
        <w:rPr>
          <w:rFonts w:hAnsi="宋体" w:eastAsia="宋体"/>
        </w:rPr>
        <w:t>在合同履行过程中，如发生合同纠纷，合同双方应按照《合同法》的有关规定进行处理。</w:t>
      </w:r>
    </w:p>
    <w:bookmarkEnd w:id="151"/>
    <w:bookmarkEnd w:id="152"/>
    <w:p>
      <w:pPr>
        <w:pStyle w:val="5"/>
        <w:tabs>
          <w:tab w:val="left" w:pos="4573"/>
        </w:tabs>
        <w:ind w:firstLine="480"/>
        <w:jc w:val="left"/>
        <w:rPr>
          <w:rFonts w:ascii="Times New Roman" w:hAnsi="Times New Roman" w:cs="Times New Roman"/>
          <w:b w:val="0"/>
          <w:szCs w:val="24"/>
        </w:rPr>
      </w:pPr>
      <w:bookmarkStart w:id="158" w:name="_Toc325096501"/>
      <w:bookmarkStart w:id="159" w:name="_Toc217446072"/>
      <w:bookmarkStart w:id="160" w:name="_Toc317509420"/>
      <w:bookmarkStart w:id="161" w:name="_Toc317509267"/>
      <w:bookmarkStart w:id="162" w:name="_Toc325464850"/>
      <w:bookmarkStart w:id="163" w:name="_Toc183582243"/>
      <w:bookmarkStart w:id="164" w:name="_Toc183682380"/>
      <w:r>
        <w:rPr>
          <w:rFonts w:ascii="Times New Roman" w:hAnsi="Times New Roman" w:cs="Times New Roman"/>
          <w:b w:val="0"/>
          <w:szCs w:val="24"/>
        </w:rPr>
        <w:t xml:space="preserve">27. </w:t>
      </w:r>
      <w:r>
        <w:rPr>
          <w:rFonts w:ascii="Times New Roman" w:hAnsi="宋体" w:cs="Times New Roman"/>
          <w:b w:val="0"/>
          <w:szCs w:val="24"/>
        </w:rPr>
        <w:t>废标的情形</w:t>
      </w:r>
      <w:bookmarkEnd w:id="158"/>
      <w:bookmarkEnd w:id="159"/>
      <w:bookmarkEnd w:id="160"/>
      <w:bookmarkEnd w:id="161"/>
      <w:bookmarkEnd w:id="162"/>
    </w:p>
    <w:p>
      <w:pPr>
        <w:tabs>
          <w:tab w:val="left" w:pos="7665"/>
        </w:tabs>
        <w:snapToGrid w:val="0"/>
        <w:spacing w:line="360" w:lineRule="auto"/>
        <w:ind w:firstLine="480" w:firstLineChars="200"/>
        <w:rPr>
          <w:rFonts w:eastAsia="宋体"/>
        </w:rPr>
      </w:pPr>
      <w:r>
        <w:rPr>
          <w:rFonts w:hAnsi="宋体" w:eastAsia="宋体"/>
        </w:rPr>
        <w:t>招标中，出现下列情形之一的，予以废标：</w:t>
      </w:r>
    </w:p>
    <w:p>
      <w:pPr>
        <w:tabs>
          <w:tab w:val="left" w:pos="7665"/>
        </w:tabs>
        <w:snapToGrid w:val="0"/>
        <w:spacing w:line="360" w:lineRule="auto"/>
        <w:ind w:firstLine="480" w:firstLineChars="200"/>
        <w:rPr>
          <w:rFonts w:eastAsia="宋体"/>
        </w:rPr>
      </w:pPr>
      <w:r>
        <w:rPr>
          <w:rFonts w:hAnsi="宋体" w:eastAsia="宋体"/>
        </w:rPr>
        <w:t>（</w:t>
      </w:r>
      <w:r>
        <w:rPr>
          <w:rFonts w:eastAsia="宋体"/>
        </w:rPr>
        <w:t>1</w:t>
      </w:r>
      <w:r>
        <w:rPr>
          <w:rFonts w:hAnsi="宋体" w:eastAsia="宋体"/>
        </w:rPr>
        <w:t>）出现影响招标公正的违法、违规行为的；</w:t>
      </w:r>
    </w:p>
    <w:p>
      <w:pPr>
        <w:tabs>
          <w:tab w:val="left" w:pos="7665"/>
        </w:tabs>
        <w:snapToGrid w:val="0"/>
        <w:spacing w:line="360" w:lineRule="auto"/>
        <w:ind w:firstLine="480" w:firstLineChars="200"/>
        <w:rPr>
          <w:rFonts w:eastAsia="宋体"/>
        </w:rPr>
      </w:pPr>
      <w:r>
        <w:rPr>
          <w:rFonts w:hAnsi="宋体" w:eastAsia="宋体"/>
        </w:rPr>
        <w:t>（</w:t>
      </w:r>
      <w:r>
        <w:rPr>
          <w:rFonts w:eastAsia="宋体"/>
        </w:rPr>
        <w:t>2</w:t>
      </w:r>
      <w:r>
        <w:rPr>
          <w:rFonts w:hAnsi="宋体" w:eastAsia="宋体"/>
        </w:rPr>
        <w:t>）投标人的报价均超过了招标预算，招标人不能支付的；</w:t>
      </w:r>
    </w:p>
    <w:p>
      <w:pPr>
        <w:tabs>
          <w:tab w:val="left" w:pos="7665"/>
        </w:tabs>
        <w:snapToGrid w:val="0"/>
        <w:spacing w:line="360" w:lineRule="auto"/>
        <w:ind w:firstLine="480" w:firstLineChars="200"/>
        <w:rPr>
          <w:rFonts w:eastAsia="宋体"/>
        </w:rPr>
      </w:pPr>
      <w:r>
        <w:rPr>
          <w:rFonts w:hAnsi="宋体" w:eastAsia="宋体"/>
        </w:rPr>
        <w:t>（</w:t>
      </w:r>
      <w:r>
        <w:rPr>
          <w:rFonts w:eastAsia="宋体"/>
        </w:rPr>
        <w:t>3</w:t>
      </w:r>
      <w:r>
        <w:rPr>
          <w:rFonts w:hAnsi="宋体" w:eastAsia="宋体"/>
        </w:rPr>
        <w:t>）因重大变故，招标任务取消的；</w:t>
      </w:r>
    </w:p>
    <w:p>
      <w:pPr>
        <w:tabs>
          <w:tab w:val="left" w:pos="7665"/>
        </w:tabs>
        <w:snapToGrid w:val="0"/>
        <w:spacing w:line="360" w:lineRule="auto"/>
        <w:ind w:firstLine="480" w:firstLineChars="200"/>
        <w:rPr>
          <w:rFonts w:eastAsia="宋体"/>
        </w:rPr>
      </w:pPr>
      <w:r>
        <w:rPr>
          <w:rFonts w:hAnsi="宋体" w:eastAsia="宋体"/>
        </w:rPr>
        <w:t>（</w:t>
      </w:r>
      <w:r>
        <w:rPr>
          <w:rFonts w:eastAsia="宋体"/>
        </w:rPr>
        <w:t>4</w:t>
      </w:r>
      <w:r>
        <w:rPr>
          <w:rFonts w:hAnsi="宋体" w:eastAsia="宋体"/>
        </w:rPr>
        <w:t>）其他未实质性响应招标文件的。</w:t>
      </w:r>
    </w:p>
    <w:p>
      <w:pPr>
        <w:pStyle w:val="5"/>
        <w:tabs>
          <w:tab w:val="left" w:pos="4573"/>
        </w:tabs>
        <w:ind w:firstLine="480"/>
        <w:jc w:val="left"/>
        <w:rPr>
          <w:rFonts w:ascii="Times New Roman" w:hAnsi="Times New Roman" w:cs="Times New Roman"/>
          <w:b w:val="0"/>
          <w:szCs w:val="24"/>
        </w:rPr>
      </w:pPr>
      <w:bookmarkStart w:id="165" w:name="_Toc325464852"/>
      <w:bookmarkStart w:id="166" w:name="_Toc217446075"/>
      <w:bookmarkStart w:id="167" w:name="_Toc325096503"/>
      <w:bookmarkStart w:id="168" w:name="_Toc317509269"/>
      <w:bookmarkStart w:id="169" w:name="_Toc317509422"/>
      <w:r>
        <w:rPr>
          <w:rFonts w:ascii="Times New Roman" w:hAnsi="Times New Roman" w:cs="Times New Roman"/>
          <w:b w:val="0"/>
          <w:szCs w:val="24"/>
        </w:rPr>
        <w:t xml:space="preserve">28. </w:t>
      </w:r>
      <w:r>
        <w:rPr>
          <w:rFonts w:ascii="Times New Roman" w:hAnsi="宋体" w:cs="Times New Roman"/>
          <w:b w:val="0"/>
          <w:szCs w:val="24"/>
        </w:rPr>
        <w:t>投标人不得具有的情形</w:t>
      </w:r>
      <w:bookmarkEnd w:id="165"/>
      <w:bookmarkEnd w:id="166"/>
      <w:bookmarkEnd w:id="167"/>
      <w:bookmarkEnd w:id="168"/>
      <w:bookmarkEnd w:id="169"/>
    </w:p>
    <w:p>
      <w:pPr>
        <w:tabs>
          <w:tab w:val="left" w:pos="7665"/>
        </w:tabs>
        <w:snapToGrid w:val="0"/>
        <w:spacing w:line="360" w:lineRule="auto"/>
        <w:ind w:firstLine="480" w:firstLineChars="200"/>
        <w:rPr>
          <w:rFonts w:eastAsia="宋体"/>
        </w:rPr>
      </w:pPr>
      <w:r>
        <w:rPr>
          <w:rFonts w:hAnsi="宋体" w:eastAsia="宋体"/>
        </w:rPr>
        <w:t>投标人参加招标不得有下列情形：</w:t>
      </w:r>
    </w:p>
    <w:p>
      <w:pPr>
        <w:tabs>
          <w:tab w:val="left" w:pos="7665"/>
        </w:tabs>
        <w:snapToGrid w:val="0"/>
        <w:spacing w:line="360" w:lineRule="auto"/>
        <w:ind w:firstLine="480" w:firstLineChars="200"/>
        <w:rPr>
          <w:rFonts w:eastAsia="宋体"/>
        </w:rPr>
      </w:pPr>
      <w:r>
        <w:rPr>
          <w:rFonts w:hAnsi="宋体" w:eastAsia="宋体"/>
        </w:rPr>
        <w:t>（</w:t>
      </w:r>
      <w:r>
        <w:rPr>
          <w:rFonts w:eastAsia="宋体"/>
        </w:rPr>
        <w:t>1</w:t>
      </w:r>
      <w:r>
        <w:rPr>
          <w:rFonts w:hAnsi="宋体" w:eastAsia="宋体"/>
        </w:rPr>
        <w:t>）提供虚假材料谋取中标；</w:t>
      </w:r>
    </w:p>
    <w:p>
      <w:pPr>
        <w:tabs>
          <w:tab w:val="left" w:pos="7665"/>
        </w:tabs>
        <w:snapToGrid w:val="0"/>
        <w:spacing w:line="360" w:lineRule="auto"/>
        <w:ind w:firstLine="480" w:firstLineChars="200"/>
        <w:rPr>
          <w:rFonts w:eastAsia="宋体"/>
        </w:rPr>
      </w:pPr>
      <w:r>
        <w:rPr>
          <w:rFonts w:hAnsi="宋体" w:eastAsia="宋体"/>
        </w:rPr>
        <w:t>（</w:t>
      </w:r>
      <w:r>
        <w:rPr>
          <w:rFonts w:eastAsia="宋体"/>
        </w:rPr>
        <w:t>2</w:t>
      </w:r>
      <w:r>
        <w:rPr>
          <w:rFonts w:hAnsi="宋体" w:eastAsia="宋体"/>
        </w:rPr>
        <w:t>）采取不正当手段诋毁、排挤其他投标人；</w:t>
      </w:r>
    </w:p>
    <w:p>
      <w:pPr>
        <w:tabs>
          <w:tab w:val="left" w:pos="7665"/>
        </w:tabs>
        <w:snapToGrid w:val="0"/>
        <w:spacing w:line="360" w:lineRule="auto"/>
        <w:ind w:firstLine="480" w:firstLineChars="200"/>
        <w:rPr>
          <w:rFonts w:eastAsia="宋体"/>
        </w:rPr>
      </w:pPr>
      <w:r>
        <w:rPr>
          <w:rFonts w:hAnsi="宋体" w:eastAsia="宋体"/>
        </w:rPr>
        <w:t>（</w:t>
      </w:r>
      <w:r>
        <w:rPr>
          <w:rFonts w:eastAsia="宋体"/>
        </w:rPr>
        <w:t>3</w:t>
      </w:r>
      <w:r>
        <w:rPr>
          <w:rFonts w:hAnsi="宋体" w:eastAsia="宋体"/>
        </w:rPr>
        <w:t>）与招标人、其他投标人恶意串通；</w:t>
      </w:r>
    </w:p>
    <w:p>
      <w:pPr>
        <w:tabs>
          <w:tab w:val="left" w:pos="7665"/>
        </w:tabs>
        <w:snapToGrid w:val="0"/>
        <w:spacing w:line="360" w:lineRule="auto"/>
        <w:ind w:firstLine="480" w:firstLineChars="200"/>
        <w:rPr>
          <w:rFonts w:eastAsia="宋体"/>
        </w:rPr>
      </w:pPr>
      <w:r>
        <w:rPr>
          <w:rFonts w:hAnsi="宋体" w:eastAsia="宋体"/>
        </w:rPr>
        <w:t>（</w:t>
      </w:r>
      <w:r>
        <w:rPr>
          <w:rFonts w:eastAsia="宋体"/>
        </w:rPr>
        <w:t>4</w:t>
      </w:r>
      <w:r>
        <w:rPr>
          <w:rFonts w:hAnsi="宋体" w:eastAsia="宋体"/>
        </w:rPr>
        <w:t>）向招标人、评审委员会成员行贿或者提供其他不正当利益；</w:t>
      </w:r>
    </w:p>
    <w:p>
      <w:pPr>
        <w:tabs>
          <w:tab w:val="left" w:pos="7665"/>
        </w:tabs>
        <w:snapToGrid w:val="0"/>
        <w:spacing w:line="360" w:lineRule="auto"/>
        <w:ind w:firstLine="480" w:firstLineChars="200"/>
        <w:rPr>
          <w:rFonts w:eastAsia="宋体"/>
        </w:rPr>
      </w:pPr>
      <w:r>
        <w:rPr>
          <w:rFonts w:hAnsi="宋体" w:eastAsia="宋体"/>
        </w:rPr>
        <w:t>（</w:t>
      </w:r>
      <w:r>
        <w:rPr>
          <w:rFonts w:eastAsia="宋体"/>
        </w:rPr>
        <w:t>5</w:t>
      </w:r>
      <w:r>
        <w:rPr>
          <w:rFonts w:hAnsi="宋体" w:eastAsia="宋体"/>
        </w:rPr>
        <w:t>）拒绝有关部门的监督检查或者向监督检查部门提供虚假情况。</w:t>
      </w:r>
    </w:p>
    <w:p>
      <w:pPr>
        <w:tabs>
          <w:tab w:val="left" w:pos="7665"/>
        </w:tabs>
        <w:snapToGrid w:val="0"/>
        <w:spacing w:line="360" w:lineRule="auto"/>
        <w:ind w:firstLine="480" w:firstLineChars="200"/>
        <w:rPr>
          <w:rFonts w:eastAsia="宋体"/>
        </w:rPr>
      </w:pPr>
      <w:r>
        <w:rPr>
          <w:rFonts w:hAnsi="宋体" w:eastAsia="宋体"/>
        </w:rPr>
        <w:t>有上述情形之一的投标人，属于不合格投标人，其投标人资格或中标资格将被取消。</w:t>
      </w:r>
      <w:bookmarkEnd w:id="163"/>
      <w:bookmarkEnd w:id="164"/>
    </w:p>
    <w:p>
      <w:pPr>
        <w:pStyle w:val="4"/>
        <w:textAlignment w:val="center"/>
        <w:rPr>
          <w:rFonts w:ascii="Times New Roman" w:hAnsi="Times New Roman" w:cs="Times New Roman"/>
          <w:sz w:val="24"/>
          <w:szCs w:val="24"/>
        </w:rPr>
        <w:sectPr>
          <w:pgSz w:w="11907" w:h="16840"/>
          <w:pgMar w:top="1440" w:right="1440" w:bottom="1440" w:left="1440" w:header="851" w:footer="992" w:gutter="0"/>
          <w:cols w:space="720" w:num="1"/>
          <w:docGrid w:linePitch="326" w:charSpace="0"/>
        </w:sectPr>
      </w:pPr>
      <w:r>
        <w:rPr>
          <w:rFonts w:ascii="Times New Roman" w:hAnsi="Times New Roman" w:cs="Times New Roman"/>
          <w:b w:val="0"/>
          <w:sz w:val="24"/>
          <w:szCs w:val="24"/>
        </w:rPr>
        <w:br w:type="page"/>
      </w:r>
    </w:p>
    <w:p>
      <w:pPr>
        <w:pStyle w:val="3"/>
        <w:topLinePunct/>
        <w:autoSpaceDE/>
        <w:autoSpaceDN/>
        <w:textAlignment w:val="center"/>
        <w:rPr>
          <w:rFonts w:ascii="宋体" w:hAnsi="宋体" w:eastAsia="宋体"/>
        </w:rPr>
      </w:pPr>
      <w:bookmarkStart w:id="170" w:name="_Toc19253"/>
      <w:r>
        <w:rPr>
          <w:rFonts w:hint="eastAsia" w:ascii="宋体" w:hAnsi="宋体" w:eastAsia="宋体"/>
        </w:rPr>
        <w:t>第三章  评标办法</w:t>
      </w:r>
      <w:bookmarkEnd w:id="170"/>
    </w:p>
    <w:p/>
    <w:p>
      <w:pPr>
        <w:pStyle w:val="4"/>
        <w:jc w:val="center"/>
        <w:textAlignment w:val="center"/>
        <w:rPr>
          <w:rFonts w:ascii="宋体" w:hAnsi="宋体"/>
        </w:rPr>
      </w:pPr>
      <w:bookmarkStart w:id="171" w:name="_Toc2157"/>
      <w:r>
        <w:rPr>
          <w:rFonts w:hint="eastAsia" w:ascii="宋体" w:hAnsi="宋体"/>
        </w:rPr>
        <w:t>评标办法前附表</w:t>
      </w:r>
      <w:bookmarkEnd w:id="171"/>
    </w:p>
    <w:tbl>
      <w:tblPr>
        <w:tblStyle w:val="48"/>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489"/>
        <w:gridCol w:w="1992"/>
        <w:gridCol w:w="3353"/>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tcPr>
          <w:p>
            <w:pPr>
              <w:jc w:val="center"/>
              <w:rPr>
                <w:rFonts w:ascii="宋体" w:hAnsi="宋体" w:eastAsia="宋体" w:cs="宋体"/>
                <w:sz w:val="18"/>
                <w:szCs w:val="18"/>
              </w:rPr>
            </w:pPr>
            <w:r>
              <w:rPr>
                <w:rFonts w:hint="eastAsia" w:ascii="宋体" w:hAnsi="宋体" w:eastAsia="宋体" w:cs="宋体"/>
                <w:sz w:val="18"/>
                <w:szCs w:val="18"/>
              </w:rPr>
              <w:t>条款号</w:t>
            </w:r>
          </w:p>
        </w:tc>
        <w:tc>
          <w:tcPr>
            <w:tcW w:w="1489" w:type="dxa"/>
          </w:tcPr>
          <w:p>
            <w:pPr>
              <w:jc w:val="center"/>
              <w:rPr>
                <w:rFonts w:ascii="宋体" w:hAnsi="宋体" w:eastAsia="宋体" w:cs="宋体"/>
                <w:sz w:val="18"/>
                <w:szCs w:val="18"/>
              </w:rPr>
            </w:pPr>
            <w:r>
              <w:rPr>
                <w:rFonts w:hint="eastAsia" w:ascii="宋体" w:hAnsi="宋体" w:eastAsia="宋体" w:cs="宋体"/>
                <w:sz w:val="18"/>
                <w:szCs w:val="18"/>
              </w:rPr>
              <w:t>评审方法</w:t>
            </w:r>
          </w:p>
        </w:tc>
        <w:tc>
          <w:tcPr>
            <w:tcW w:w="1992" w:type="dxa"/>
          </w:tcPr>
          <w:p>
            <w:pPr>
              <w:jc w:val="center"/>
              <w:rPr>
                <w:rFonts w:ascii="宋体" w:hAnsi="宋体" w:eastAsia="宋体" w:cs="宋体"/>
                <w:sz w:val="18"/>
                <w:szCs w:val="18"/>
              </w:rPr>
            </w:pPr>
            <w:r>
              <w:rPr>
                <w:rFonts w:hint="eastAsia" w:ascii="宋体" w:hAnsi="宋体" w:eastAsia="宋体" w:cs="宋体"/>
                <w:sz w:val="18"/>
                <w:szCs w:val="18"/>
              </w:rPr>
              <w:t>评审因素</w:t>
            </w:r>
          </w:p>
        </w:tc>
        <w:tc>
          <w:tcPr>
            <w:tcW w:w="3985" w:type="dxa"/>
            <w:gridSpan w:val="2"/>
          </w:tcPr>
          <w:p>
            <w:pPr>
              <w:jc w:val="center"/>
              <w:rPr>
                <w:rFonts w:ascii="宋体" w:hAnsi="宋体" w:eastAsia="宋体" w:cs="宋体"/>
                <w:sz w:val="18"/>
                <w:szCs w:val="18"/>
              </w:rPr>
            </w:pPr>
            <w:r>
              <w:rPr>
                <w:rFonts w:hint="eastAsia" w:ascii="宋体" w:hAnsi="宋体" w:eastAsia="宋体" w:cs="宋体"/>
                <w:sz w:val="18"/>
                <w:szCs w:val="1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3.1.1</w:t>
            </w:r>
          </w:p>
        </w:tc>
        <w:tc>
          <w:tcPr>
            <w:tcW w:w="1489"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形式评审</w:t>
            </w:r>
          </w:p>
        </w:tc>
        <w:tc>
          <w:tcPr>
            <w:tcW w:w="1992" w:type="dxa"/>
            <w:vAlign w:val="center"/>
          </w:tcPr>
          <w:p>
            <w:pPr>
              <w:jc w:val="center"/>
              <w:rPr>
                <w:rFonts w:ascii="宋体" w:hAnsi="宋体" w:eastAsia="宋体" w:cs="宋体"/>
                <w:sz w:val="18"/>
                <w:szCs w:val="18"/>
              </w:rPr>
            </w:pPr>
            <w:r>
              <w:rPr>
                <w:rFonts w:hint="eastAsia" w:ascii="宋体" w:hAnsi="宋体" w:eastAsia="宋体" w:cs="宋体"/>
                <w:sz w:val="18"/>
                <w:szCs w:val="18"/>
              </w:rPr>
              <w:t>投标人名称</w:t>
            </w:r>
          </w:p>
        </w:tc>
        <w:tc>
          <w:tcPr>
            <w:tcW w:w="3985" w:type="dxa"/>
            <w:gridSpan w:val="2"/>
          </w:tcPr>
          <w:p>
            <w:pPr>
              <w:rPr>
                <w:rFonts w:ascii="宋体" w:hAnsi="宋体" w:eastAsia="宋体" w:cs="宋体"/>
                <w:sz w:val="18"/>
                <w:szCs w:val="18"/>
              </w:rPr>
            </w:pPr>
            <w:r>
              <w:rPr>
                <w:rFonts w:hint="eastAsia" w:ascii="宋体" w:hAnsi="宋体" w:eastAsia="宋体" w:cs="宋体"/>
                <w:sz w:val="18"/>
                <w:szCs w:val="18"/>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宋体" w:hAnsi="宋体" w:eastAsia="宋体" w:cs="宋体"/>
                <w:sz w:val="18"/>
                <w:szCs w:val="18"/>
              </w:rPr>
            </w:pPr>
          </w:p>
        </w:tc>
        <w:tc>
          <w:tcPr>
            <w:tcW w:w="1489" w:type="dxa"/>
            <w:vMerge w:val="continue"/>
            <w:vAlign w:val="center"/>
          </w:tcPr>
          <w:p>
            <w:pPr>
              <w:jc w:val="center"/>
              <w:rPr>
                <w:rFonts w:ascii="宋体" w:hAnsi="宋体" w:eastAsia="宋体" w:cs="宋体"/>
                <w:sz w:val="18"/>
                <w:szCs w:val="18"/>
              </w:rPr>
            </w:pPr>
          </w:p>
        </w:tc>
        <w:tc>
          <w:tcPr>
            <w:tcW w:w="1992" w:type="dxa"/>
            <w:vAlign w:val="center"/>
          </w:tcPr>
          <w:p>
            <w:pPr>
              <w:jc w:val="center"/>
              <w:rPr>
                <w:rFonts w:ascii="宋体" w:hAnsi="宋体" w:eastAsia="宋体" w:cs="宋体"/>
                <w:sz w:val="18"/>
                <w:szCs w:val="18"/>
              </w:rPr>
            </w:pPr>
            <w:r>
              <w:rPr>
                <w:rFonts w:hint="eastAsia" w:ascii="宋体" w:hAnsi="宋体" w:eastAsia="宋体" w:cs="宋体"/>
                <w:sz w:val="18"/>
                <w:szCs w:val="18"/>
              </w:rPr>
              <w:t>签字、盖章</w:t>
            </w:r>
          </w:p>
        </w:tc>
        <w:tc>
          <w:tcPr>
            <w:tcW w:w="3985" w:type="dxa"/>
            <w:gridSpan w:val="2"/>
          </w:tcPr>
          <w:p>
            <w:pPr>
              <w:rPr>
                <w:rFonts w:ascii="宋体" w:hAnsi="宋体" w:eastAsia="宋体" w:cs="宋体"/>
                <w:sz w:val="18"/>
                <w:szCs w:val="18"/>
              </w:rPr>
            </w:pPr>
            <w:r>
              <w:rPr>
                <w:rFonts w:hint="eastAsia" w:ascii="宋体" w:hAnsi="宋体" w:eastAsia="宋体" w:cs="宋体"/>
                <w:sz w:val="18"/>
                <w:szCs w:val="18"/>
              </w:rPr>
              <w:t>符合招标文件“投标人须知”相关规定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2" w:type="dxa"/>
            <w:vMerge w:val="continue"/>
            <w:vAlign w:val="center"/>
          </w:tcPr>
          <w:p>
            <w:pPr>
              <w:jc w:val="center"/>
              <w:rPr>
                <w:rFonts w:ascii="宋体" w:hAnsi="宋体" w:eastAsia="宋体" w:cs="宋体"/>
                <w:sz w:val="18"/>
                <w:szCs w:val="18"/>
              </w:rPr>
            </w:pPr>
          </w:p>
        </w:tc>
        <w:tc>
          <w:tcPr>
            <w:tcW w:w="1489" w:type="dxa"/>
            <w:vMerge w:val="continue"/>
            <w:vAlign w:val="center"/>
          </w:tcPr>
          <w:p>
            <w:pPr>
              <w:jc w:val="center"/>
              <w:rPr>
                <w:rFonts w:ascii="宋体" w:hAnsi="宋体" w:eastAsia="宋体" w:cs="宋体"/>
                <w:sz w:val="18"/>
                <w:szCs w:val="18"/>
              </w:rPr>
            </w:pPr>
          </w:p>
        </w:tc>
        <w:tc>
          <w:tcPr>
            <w:tcW w:w="1992" w:type="dxa"/>
            <w:vAlign w:val="center"/>
          </w:tcPr>
          <w:p>
            <w:pPr>
              <w:jc w:val="center"/>
              <w:rPr>
                <w:rFonts w:ascii="宋体" w:hAnsi="宋体" w:eastAsia="宋体" w:cs="宋体"/>
                <w:sz w:val="18"/>
                <w:szCs w:val="18"/>
              </w:rPr>
            </w:pPr>
            <w:r>
              <w:rPr>
                <w:rFonts w:hint="eastAsia" w:ascii="宋体" w:hAnsi="宋体" w:eastAsia="宋体" w:cs="宋体"/>
                <w:sz w:val="18"/>
                <w:szCs w:val="18"/>
              </w:rPr>
              <w:t>副本份数</w:t>
            </w:r>
          </w:p>
        </w:tc>
        <w:tc>
          <w:tcPr>
            <w:tcW w:w="3985" w:type="dxa"/>
            <w:gridSpan w:val="2"/>
          </w:tcPr>
          <w:p>
            <w:pPr>
              <w:rPr>
                <w:rFonts w:ascii="宋体" w:hAnsi="宋体" w:eastAsia="宋体" w:cs="宋体"/>
                <w:sz w:val="18"/>
                <w:szCs w:val="18"/>
              </w:rPr>
            </w:pPr>
            <w:r>
              <w:rPr>
                <w:rFonts w:hint="eastAsia" w:ascii="宋体" w:hAnsi="宋体" w:eastAsia="宋体" w:cs="宋体"/>
                <w:sz w:val="18"/>
                <w:szCs w:val="18"/>
              </w:rPr>
              <w:t>符合招标文件“投标人须知”相关规定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宋体" w:hAnsi="宋体" w:eastAsia="宋体" w:cs="宋体"/>
                <w:sz w:val="18"/>
                <w:szCs w:val="18"/>
              </w:rPr>
            </w:pPr>
          </w:p>
        </w:tc>
        <w:tc>
          <w:tcPr>
            <w:tcW w:w="1489" w:type="dxa"/>
            <w:vMerge w:val="continue"/>
            <w:vAlign w:val="center"/>
          </w:tcPr>
          <w:p>
            <w:pPr>
              <w:jc w:val="center"/>
              <w:rPr>
                <w:rFonts w:ascii="宋体" w:hAnsi="宋体" w:eastAsia="宋体" w:cs="宋体"/>
                <w:sz w:val="18"/>
                <w:szCs w:val="18"/>
              </w:rPr>
            </w:pPr>
          </w:p>
        </w:tc>
        <w:tc>
          <w:tcPr>
            <w:tcW w:w="1992" w:type="dxa"/>
            <w:vAlign w:val="center"/>
          </w:tcPr>
          <w:p>
            <w:pPr>
              <w:jc w:val="center"/>
              <w:rPr>
                <w:rFonts w:ascii="宋体" w:hAnsi="宋体" w:eastAsia="宋体" w:cs="宋体"/>
                <w:sz w:val="18"/>
                <w:szCs w:val="18"/>
              </w:rPr>
            </w:pPr>
            <w:r>
              <w:rPr>
                <w:rFonts w:hint="eastAsia" w:ascii="宋体" w:hAnsi="宋体" w:eastAsia="宋体" w:cs="宋体"/>
                <w:sz w:val="18"/>
                <w:szCs w:val="18"/>
              </w:rPr>
              <w:t>投标文件格式</w:t>
            </w:r>
          </w:p>
        </w:tc>
        <w:tc>
          <w:tcPr>
            <w:tcW w:w="3985" w:type="dxa"/>
            <w:gridSpan w:val="2"/>
          </w:tcPr>
          <w:p>
            <w:pPr>
              <w:rPr>
                <w:rFonts w:ascii="宋体" w:hAnsi="宋体" w:eastAsia="宋体" w:cs="宋体"/>
                <w:sz w:val="18"/>
                <w:szCs w:val="18"/>
              </w:rPr>
            </w:pPr>
            <w:r>
              <w:rPr>
                <w:rFonts w:hint="eastAsia" w:ascii="宋体" w:hAnsi="宋体" w:eastAsia="宋体" w:cs="宋体"/>
                <w:sz w:val="18"/>
                <w:szCs w:val="18"/>
              </w:rPr>
              <w:t>符合招标文件“投标文件格式”相关规定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宋体" w:hAnsi="宋体" w:eastAsia="宋体" w:cs="宋体"/>
                <w:sz w:val="18"/>
                <w:szCs w:val="18"/>
              </w:rPr>
            </w:pPr>
          </w:p>
        </w:tc>
        <w:tc>
          <w:tcPr>
            <w:tcW w:w="1489" w:type="dxa"/>
            <w:vMerge w:val="continue"/>
            <w:vAlign w:val="center"/>
          </w:tcPr>
          <w:p>
            <w:pPr>
              <w:jc w:val="center"/>
              <w:rPr>
                <w:rFonts w:ascii="宋体" w:hAnsi="宋体" w:eastAsia="宋体" w:cs="宋体"/>
                <w:sz w:val="18"/>
                <w:szCs w:val="18"/>
              </w:rPr>
            </w:pPr>
          </w:p>
        </w:tc>
        <w:tc>
          <w:tcPr>
            <w:tcW w:w="1992" w:type="dxa"/>
            <w:vAlign w:val="center"/>
          </w:tcPr>
          <w:p>
            <w:pPr>
              <w:jc w:val="center"/>
              <w:rPr>
                <w:rFonts w:ascii="宋体" w:hAnsi="宋体" w:eastAsia="宋体" w:cs="宋体"/>
                <w:sz w:val="18"/>
                <w:szCs w:val="18"/>
              </w:rPr>
            </w:pPr>
            <w:r>
              <w:rPr>
                <w:rFonts w:hint="eastAsia" w:ascii="宋体" w:hAnsi="宋体" w:eastAsia="宋体" w:cs="宋体"/>
                <w:sz w:val="18"/>
                <w:szCs w:val="18"/>
              </w:rPr>
              <w:t>报价唯一</w:t>
            </w:r>
          </w:p>
        </w:tc>
        <w:tc>
          <w:tcPr>
            <w:tcW w:w="3985" w:type="dxa"/>
            <w:gridSpan w:val="2"/>
          </w:tcPr>
          <w:p>
            <w:pPr>
              <w:rPr>
                <w:rFonts w:ascii="宋体" w:hAnsi="宋体" w:eastAsia="宋体" w:cs="宋体"/>
                <w:sz w:val="18"/>
                <w:szCs w:val="18"/>
              </w:rPr>
            </w:pPr>
            <w:r>
              <w:rPr>
                <w:rFonts w:hint="eastAsia" w:ascii="宋体" w:hAnsi="宋体" w:eastAsia="宋体" w:cs="宋体"/>
                <w:sz w:val="18"/>
                <w:szCs w:val="18"/>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3.1.2</w:t>
            </w:r>
          </w:p>
        </w:tc>
        <w:tc>
          <w:tcPr>
            <w:tcW w:w="1489"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资格评审</w:t>
            </w:r>
          </w:p>
        </w:tc>
        <w:tc>
          <w:tcPr>
            <w:tcW w:w="1992" w:type="dxa"/>
            <w:vAlign w:val="center"/>
          </w:tcPr>
          <w:p>
            <w:pPr>
              <w:jc w:val="center"/>
              <w:rPr>
                <w:rFonts w:ascii="宋体" w:hAnsi="宋体" w:eastAsia="宋体" w:cs="宋体"/>
                <w:sz w:val="18"/>
                <w:szCs w:val="18"/>
              </w:rPr>
            </w:pPr>
            <w:r>
              <w:rPr>
                <w:rFonts w:hint="eastAsia" w:ascii="宋体" w:hAnsi="宋体" w:eastAsia="宋体" w:cs="宋体"/>
                <w:sz w:val="18"/>
                <w:szCs w:val="18"/>
              </w:rPr>
              <w:t>营业执照</w:t>
            </w:r>
          </w:p>
        </w:tc>
        <w:tc>
          <w:tcPr>
            <w:tcW w:w="3985" w:type="dxa"/>
            <w:gridSpan w:val="2"/>
          </w:tcPr>
          <w:p>
            <w:pPr>
              <w:rPr>
                <w:rFonts w:ascii="宋体" w:hAnsi="宋体" w:eastAsia="宋体" w:cs="宋体"/>
                <w:sz w:val="18"/>
                <w:szCs w:val="18"/>
              </w:rPr>
            </w:pPr>
            <w:r>
              <w:rPr>
                <w:rFonts w:hint="eastAsia" w:ascii="宋体" w:hAnsi="宋体" w:eastAsia="宋体" w:cs="宋体"/>
                <w:sz w:val="18"/>
                <w:szCs w:val="18"/>
              </w:rPr>
              <w:t>符合招标文件“投标人须知”相关规定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宋体" w:hAnsi="宋体" w:eastAsia="宋体" w:cs="宋体"/>
                <w:sz w:val="18"/>
                <w:szCs w:val="18"/>
              </w:rPr>
            </w:pPr>
          </w:p>
        </w:tc>
        <w:tc>
          <w:tcPr>
            <w:tcW w:w="1489" w:type="dxa"/>
            <w:vMerge w:val="continue"/>
            <w:vAlign w:val="center"/>
          </w:tcPr>
          <w:p>
            <w:pPr>
              <w:jc w:val="center"/>
              <w:rPr>
                <w:rFonts w:ascii="宋体" w:hAnsi="宋体" w:eastAsia="宋体" w:cs="宋体"/>
                <w:sz w:val="18"/>
                <w:szCs w:val="18"/>
              </w:rPr>
            </w:pPr>
          </w:p>
        </w:tc>
        <w:tc>
          <w:tcPr>
            <w:tcW w:w="1992" w:type="dxa"/>
            <w:vAlign w:val="center"/>
          </w:tcPr>
          <w:p>
            <w:pPr>
              <w:jc w:val="center"/>
              <w:rPr>
                <w:rFonts w:ascii="宋体" w:hAnsi="宋体" w:eastAsia="宋体" w:cs="宋体"/>
                <w:sz w:val="18"/>
                <w:szCs w:val="18"/>
              </w:rPr>
            </w:pPr>
            <w:r>
              <w:rPr>
                <w:rFonts w:hint="eastAsia" w:ascii="宋体" w:hAnsi="宋体" w:eastAsia="宋体" w:cs="宋体"/>
                <w:sz w:val="18"/>
                <w:szCs w:val="18"/>
              </w:rPr>
              <w:t>资质等级</w:t>
            </w:r>
          </w:p>
        </w:tc>
        <w:tc>
          <w:tcPr>
            <w:tcW w:w="3985" w:type="dxa"/>
            <w:gridSpan w:val="2"/>
          </w:tcPr>
          <w:p>
            <w:pPr>
              <w:rPr>
                <w:rFonts w:ascii="宋体" w:hAnsi="宋体" w:eastAsia="宋体" w:cs="宋体"/>
                <w:sz w:val="18"/>
                <w:szCs w:val="18"/>
              </w:rPr>
            </w:pPr>
            <w:r>
              <w:rPr>
                <w:rFonts w:hint="eastAsia" w:ascii="宋体" w:hAnsi="宋体" w:eastAsia="宋体" w:cs="宋体"/>
                <w:sz w:val="18"/>
                <w:szCs w:val="18"/>
              </w:rPr>
              <w:t>符合招标文件“投标人资格条件”相关规定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宋体" w:hAnsi="宋体" w:eastAsia="宋体" w:cs="宋体"/>
                <w:sz w:val="18"/>
                <w:szCs w:val="18"/>
              </w:rPr>
            </w:pPr>
          </w:p>
        </w:tc>
        <w:tc>
          <w:tcPr>
            <w:tcW w:w="1489" w:type="dxa"/>
            <w:vMerge w:val="continue"/>
            <w:vAlign w:val="center"/>
          </w:tcPr>
          <w:p>
            <w:pPr>
              <w:jc w:val="center"/>
              <w:rPr>
                <w:rFonts w:ascii="宋体" w:hAnsi="宋体" w:eastAsia="宋体" w:cs="宋体"/>
                <w:sz w:val="18"/>
                <w:szCs w:val="18"/>
              </w:rPr>
            </w:pPr>
          </w:p>
        </w:tc>
        <w:tc>
          <w:tcPr>
            <w:tcW w:w="1992" w:type="dxa"/>
            <w:vAlign w:val="center"/>
          </w:tcPr>
          <w:p>
            <w:pPr>
              <w:jc w:val="center"/>
              <w:rPr>
                <w:rFonts w:ascii="宋体" w:hAnsi="宋体" w:eastAsia="宋体" w:cs="宋体"/>
                <w:sz w:val="18"/>
                <w:szCs w:val="18"/>
              </w:rPr>
            </w:pPr>
            <w:r>
              <w:rPr>
                <w:rFonts w:hint="eastAsia" w:ascii="宋体" w:hAnsi="宋体" w:eastAsia="宋体" w:cs="宋体"/>
                <w:sz w:val="18"/>
                <w:szCs w:val="18"/>
              </w:rPr>
              <w:t>类似项目业绩</w:t>
            </w:r>
          </w:p>
        </w:tc>
        <w:tc>
          <w:tcPr>
            <w:tcW w:w="3985" w:type="dxa"/>
            <w:gridSpan w:val="2"/>
          </w:tcPr>
          <w:p>
            <w:pPr>
              <w:rPr>
                <w:rFonts w:ascii="宋体" w:hAnsi="宋体" w:eastAsia="宋体" w:cs="宋体"/>
                <w:sz w:val="18"/>
                <w:szCs w:val="18"/>
              </w:rPr>
            </w:pPr>
            <w:r>
              <w:rPr>
                <w:rFonts w:hint="eastAsia" w:ascii="宋体" w:hAnsi="宋体" w:eastAsia="宋体" w:cs="宋体"/>
                <w:sz w:val="18"/>
                <w:szCs w:val="18"/>
              </w:rPr>
              <w:t>符合招标文件“投标人资格条件”相关规定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宋体" w:hAnsi="宋体" w:eastAsia="宋体" w:cs="宋体"/>
                <w:sz w:val="18"/>
                <w:szCs w:val="18"/>
              </w:rPr>
            </w:pPr>
          </w:p>
        </w:tc>
        <w:tc>
          <w:tcPr>
            <w:tcW w:w="1489" w:type="dxa"/>
            <w:vMerge w:val="continue"/>
            <w:vAlign w:val="center"/>
          </w:tcPr>
          <w:p>
            <w:pPr>
              <w:jc w:val="center"/>
              <w:rPr>
                <w:rFonts w:ascii="宋体" w:hAnsi="宋体" w:eastAsia="宋体" w:cs="宋体"/>
                <w:sz w:val="18"/>
                <w:szCs w:val="18"/>
              </w:rPr>
            </w:pPr>
          </w:p>
        </w:tc>
        <w:tc>
          <w:tcPr>
            <w:tcW w:w="1992" w:type="dxa"/>
            <w:vAlign w:val="center"/>
          </w:tcPr>
          <w:p>
            <w:pPr>
              <w:jc w:val="center"/>
              <w:rPr>
                <w:rFonts w:ascii="宋体" w:hAnsi="宋体" w:eastAsia="宋体" w:cs="宋体"/>
                <w:sz w:val="18"/>
                <w:szCs w:val="18"/>
              </w:rPr>
            </w:pPr>
            <w:r>
              <w:rPr>
                <w:rFonts w:hint="eastAsia" w:ascii="宋体" w:hAnsi="宋体" w:eastAsia="宋体" w:cs="宋体"/>
                <w:sz w:val="18"/>
                <w:szCs w:val="18"/>
              </w:rPr>
              <w:t>主要人员</w:t>
            </w:r>
          </w:p>
        </w:tc>
        <w:tc>
          <w:tcPr>
            <w:tcW w:w="3985" w:type="dxa"/>
            <w:gridSpan w:val="2"/>
          </w:tcPr>
          <w:p>
            <w:pPr>
              <w:rPr>
                <w:rFonts w:ascii="宋体" w:hAnsi="宋体" w:eastAsia="宋体" w:cs="宋体"/>
                <w:sz w:val="18"/>
                <w:szCs w:val="18"/>
              </w:rPr>
            </w:pPr>
            <w:r>
              <w:rPr>
                <w:rFonts w:hint="eastAsia" w:ascii="宋体" w:hAnsi="宋体" w:eastAsia="宋体" w:cs="宋体"/>
                <w:sz w:val="18"/>
                <w:szCs w:val="18"/>
              </w:rPr>
              <w:t>符合招标文件“投标人资格条件”相关规定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3.1.3</w:t>
            </w:r>
          </w:p>
        </w:tc>
        <w:tc>
          <w:tcPr>
            <w:tcW w:w="1489"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详细评审</w:t>
            </w:r>
          </w:p>
        </w:tc>
        <w:tc>
          <w:tcPr>
            <w:tcW w:w="1992" w:type="dxa"/>
            <w:vAlign w:val="center"/>
          </w:tcPr>
          <w:p>
            <w:pPr>
              <w:jc w:val="center"/>
              <w:rPr>
                <w:rFonts w:ascii="宋体" w:hAnsi="宋体" w:eastAsia="宋体" w:cs="宋体"/>
                <w:sz w:val="18"/>
                <w:szCs w:val="18"/>
              </w:rPr>
            </w:pPr>
            <w:r>
              <w:rPr>
                <w:rFonts w:hint="eastAsia" w:ascii="宋体" w:hAnsi="宋体" w:eastAsia="宋体" w:cs="宋体"/>
                <w:sz w:val="18"/>
                <w:szCs w:val="18"/>
              </w:rPr>
              <w:t>评分权重构成（100%）</w:t>
            </w:r>
          </w:p>
        </w:tc>
        <w:tc>
          <w:tcPr>
            <w:tcW w:w="3985" w:type="dxa"/>
            <w:gridSpan w:val="2"/>
          </w:tcPr>
          <w:p>
            <w:pPr>
              <w:rPr>
                <w:rFonts w:ascii="宋体" w:hAnsi="宋体" w:eastAsia="宋体" w:cs="宋体"/>
                <w:sz w:val="18"/>
                <w:szCs w:val="18"/>
              </w:rPr>
            </w:pPr>
            <w:r>
              <w:rPr>
                <w:rFonts w:hint="eastAsia" w:ascii="宋体" w:hAnsi="宋体" w:eastAsia="宋体" w:cs="宋体"/>
                <w:sz w:val="18"/>
                <w:szCs w:val="18"/>
              </w:rPr>
              <w:t xml:space="preserve">商务部分： </w:t>
            </w:r>
            <w:r>
              <w:rPr>
                <w:rFonts w:hint="eastAsia" w:ascii="宋体" w:hAnsi="宋体" w:eastAsia="宋体" w:cs="宋体"/>
                <w:sz w:val="18"/>
                <w:szCs w:val="18"/>
                <w:lang w:val="en-US" w:eastAsia="zh-CN"/>
              </w:rPr>
              <w:t>20</w:t>
            </w:r>
            <w:r>
              <w:rPr>
                <w:rFonts w:hint="eastAsia" w:ascii="宋体" w:hAnsi="宋体" w:eastAsia="宋体" w:cs="宋体"/>
                <w:sz w:val="18"/>
                <w:szCs w:val="18"/>
              </w:rPr>
              <w:t>%</w:t>
            </w:r>
          </w:p>
          <w:p>
            <w:pPr>
              <w:rPr>
                <w:rFonts w:ascii="宋体" w:hAnsi="宋体" w:eastAsia="宋体" w:cs="宋体"/>
                <w:sz w:val="18"/>
                <w:szCs w:val="18"/>
              </w:rPr>
            </w:pPr>
            <w:r>
              <w:rPr>
                <w:rFonts w:hint="eastAsia" w:ascii="宋体" w:hAnsi="宋体" w:eastAsia="宋体" w:cs="宋体"/>
                <w:sz w:val="18"/>
                <w:szCs w:val="18"/>
              </w:rPr>
              <w:t xml:space="preserve">技术部分： </w:t>
            </w:r>
            <w:r>
              <w:rPr>
                <w:rFonts w:hint="eastAsia" w:ascii="宋体" w:hAnsi="宋体" w:eastAsia="宋体" w:cs="宋体"/>
                <w:sz w:val="18"/>
                <w:szCs w:val="18"/>
                <w:lang w:val="en-US" w:eastAsia="zh-CN"/>
              </w:rPr>
              <w:t>20</w:t>
            </w:r>
            <w:r>
              <w:rPr>
                <w:rFonts w:hint="eastAsia" w:ascii="宋体" w:hAnsi="宋体" w:eastAsia="宋体" w:cs="宋体"/>
                <w:sz w:val="18"/>
                <w:szCs w:val="18"/>
              </w:rPr>
              <w:t>%</w:t>
            </w:r>
          </w:p>
          <w:p>
            <w:pPr>
              <w:rPr>
                <w:rFonts w:ascii="宋体" w:hAnsi="宋体" w:eastAsia="宋体" w:cs="宋体"/>
                <w:sz w:val="18"/>
                <w:szCs w:val="18"/>
              </w:rPr>
            </w:pPr>
            <w:r>
              <w:rPr>
                <w:rFonts w:hint="eastAsia" w:ascii="宋体" w:hAnsi="宋体" w:eastAsia="宋体" w:cs="宋体"/>
                <w:sz w:val="18"/>
                <w:szCs w:val="18"/>
              </w:rPr>
              <w:t>投标报价：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宋体" w:hAnsi="宋体" w:eastAsia="宋体" w:cs="宋体"/>
                <w:sz w:val="18"/>
                <w:szCs w:val="18"/>
              </w:rPr>
            </w:pPr>
          </w:p>
        </w:tc>
        <w:tc>
          <w:tcPr>
            <w:tcW w:w="1489" w:type="dxa"/>
            <w:vMerge w:val="continue"/>
            <w:vAlign w:val="center"/>
          </w:tcPr>
          <w:p>
            <w:pPr>
              <w:jc w:val="center"/>
              <w:rPr>
                <w:rFonts w:ascii="宋体" w:hAnsi="宋体" w:eastAsia="宋体" w:cs="宋体"/>
                <w:sz w:val="18"/>
                <w:szCs w:val="18"/>
              </w:rPr>
            </w:pPr>
          </w:p>
        </w:tc>
        <w:tc>
          <w:tcPr>
            <w:tcW w:w="1992" w:type="dxa"/>
            <w:vAlign w:val="center"/>
          </w:tcPr>
          <w:p>
            <w:pPr>
              <w:jc w:val="center"/>
              <w:rPr>
                <w:rFonts w:ascii="宋体" w:hAnsi="宋体" w:eastAsia="宋体" w:cs="宋体"/>
                <w:sz w:val="18"/>
                <w:szCs w:val="18"/>
              </w:rPr>
            </w:pPr>
            <w:r>
              <w:rPr>
                <w:rFonts w:hint="eastAsia" w:ascii="宋体" w:hAnsi="宋体" w:eastAsia="宋体" w:cs="宋体"/>
                <w:sz w:val="18"/>
                <w:szCs w:val="18"/>
              </w:rPr>
              <w:t>评标价基准值计算方法</w:t>
            </w:r>
          </w:p>
        </w:tc>
        <w:tc>
          <w:tcPr>
            <w:tcW w:w="3985" w:type="dxa"/>
            <w:gridSpan w:val="2"/>
          </w:tcPr>
          <w:p>
            <w:pPr>
              <w:rPr>
                <w:rFonts w:ascii="宋体" w:hAnsi="宋体" w:eastAsia="宋体" w:cs="宋体"/>
                <w:sz w:val="18"/>
                <w:szCs w:val="18"/>
              </w:rPr>
            </w:pPr>
            <w:r>
              <w:rPr>
                <w:rFonts w:hint="eastAsia" w:ascii="宋体" w:hAnsi="宋体" w:eastAsia="宋体" w:cs="宋体"/>
                <w:sz w:val="18"/>
                <w:szCs w:val="18"/>
              </w:rPr>
              <w:t>评标价基准值按照以下方法确定：</w:t>
            </w:r>
          </w:p>
          <w:p>
            <w:pPr>
              <w:numPr>
                <w:ilvl w:val="0"/>
                <w:numId w:val="2"/>
              </w:numPr>
              <w:rPr>
                <w:rFonts w:ascii="宋体" w:hAnsi="宋体" w:eastAsia="宋体" w:cs="宋体"/>
                <w:sz w:val="18"/>
                <w:szCs w:val="18"/>
              </w:rPr>
            </w:pPr>
            <w:r>
              <w:rPr>
                <w:rFonts w:hint="eastAsia" w:ascii="宋体" w:hAnsi="宋体" w:eastAsia="宋体" w:cs="宋体"/>
                <w:sz w:val="18"/>
                <w:szCs w:val="18"/>
              </w:rPr>
              <w:t>以所有通过初步评审的投标人评标价算数平均值✖ 0.97作为本次评审的评标价基准值（B值）。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宋体" w:hAnsi="宋体" w:eastAsia="宋体" w:cs="宋体"/>
                <w:sz w:val="18"/>
                <w:szCs w:val="18"/>
              </w:rPr>
            </w:pPr>
          </w:p>
        </w:tc>
        <w:tc>
          <w:tcPr>
            <w:tcW w:w="1489" w:type="dxa"/>
            <w:vMerge w:val="continue"/>
            <w:vAlign w:val="center"/>
          </w:tcPr>
          <w:p>
            <w:pPr>
              <w:jc w:val="center"/>
              <w:rPr>
                <w:rFonts w:ascii="宋体" w:hAnsi="宋体" w:eastAsia="宋体" w:cs="宋体"/>
                <w:sz w:val="18"/>
                <w:szCs w:val="18"/>
              </w:rPr>
            </w:pPr>
          </w:p>
        </w:tc>
        <w:tc>
          <w:tcPr>
            <w:tcW w:w="1992" w:type="dxa"/>
            <w:vAlign w:val="center"/>
          </w:tcPr>
          <w:p>
            <w:pPr>
              <w:jc w:val="center"/>
              <w:rPr>
                <w:rFonts w:ascii="宋体" w:hAnsi="宋体" w:eastAsia="宋体" w:cs="宋体"/>
                <w:sz w:val="18"/>
                <w:szCs w:val="18"/>
              </w:rPr>
            </w:pPr>
            <w:r>
              <w:rPr>
                <w:rFonts w:hint="eastAsia" w:ascii="宋体" w:hAnsi="宋体" w:eastAsia="宋体" w:cs="宋体"/>
                <w:sz w:val="18"/>
                <w:szCs w:val="18"/>
              </w:rPr>
              <w:t>偏差计算公式</w:t>
            </w:r>
          </w:p>
        </w:tc>
        <w:tc>
          <w:tcPr>
            <w:tcW w:w="3985" w:type="dxa"/>
            <w:gridSpan w:val="2"/>
          </w:tcPr>
          <w:p>
            <w:pPr>
              <w:rPr>
                <w:rFonts w:ascii="宋体" w:hAnsi="宋体" w:eastAsia="宋体" w:cs="宋体"/>
                <w:sz w:val="18"/>
                <w:szCs w:val="18"/>
              </w:rPr>
            </w:pPr>
            <w:r>
              <w:rPr>
                <w:rFonts w:hint="eastAsia" w:ascii="宋体" w:hAnsi="宋体" w:eastAsia="宋体" w:cs="宋体"/>
                <w:sz w:val="18"/>
                <w:szCs w:val="18"/>
              </w:rPr>
              <w:t>偏差率（Di）=100%✖（投标人评标价-评标价基准值）/评标价基准值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952"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3.1.3（1）</w:t>
            </w:r>
          </w:p>
        </w:tc>
        <w:tc>
          <w:tcPr>
            <w:tcW w:w="1489"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商务评分</w:t>
            </w:r>
          </w:p>
          <w:p>
            <w:pPr>
              <w:jc w:val="center"/>
              <w:rPr>
                <w:rFonts w:ascii="宋体" w:hAnsi="宋体" w:eastAsia="宋体" w:cs="宋体"/>
                <w:sz w:val="18"/>
                <w:szCs w:val="18"/>
              </w:rPr>
            </w:pPr>
            <w:r>
              <w:rPr>
                <w:rFonts w:hint="eastAsia" w:ascii="宋体" w:hAnsi="宋体" w:eastAsia="宋体" w:cs="宋体"/>
                <w:sz w:val="18"/>
                <w:szCs w:val="18"/>
              </w:rPr>
              <w:t>（20%）</w:t>
            </w:r>
          </w:p>
        </w:tc>
        <w:tc>
          <w:tcPr>
            <w:tcW w:w="1992" w:type="dxa"/>
            <w:vAlign w:val="center"/>
          </w:tcPr>
          <w:p>
            <w:pPr>
              <w:snapToGrid w:val="0"/>
              <w:spacing w:line="0" w:lineRule="atLeast"/>
              <w:jc w:val="center"/>
              <w:rPr>
                <w:rFonts w:ascii="宋体" w:hAnsi="宋体" w:eastAsia="宋体" w:cs="宋体"/>
                <w:sz w:val="18"/>
                <w:szCs w:val="18"/>
              </w:rPr>
            </w:pPr>
            <w:r>
              <w:rPr>
                <w:rFonts w:hAnsi="宋体" w:eastAsia="宋体"/>
                <w:sz w:val="18"/>
                <w:szCs w:val="18"/>
              </w:rPr>
              <w:t>投标文件的符合性</w:t>
            </w:r>
          </w:p>
        </w:tc>
        <w:tc>
          <w:tcPr>
            <w:tcW w:w="3353" w:type="dxa"/>
          </w:tcPr>
          <w:p>
            <w:pPr>
              <w:snapToGrid w:val="0"/>
              <w:spacing w:line="0" w:lineRule="atLeast"/>
              <w:rPr>
                <w:rFonts w:hAnsi="宋体" w:eastAsia="宋体"/>
                <w:sz w:val="18"/>
                <w:szCs w:val="18"/>
              </w:rPr>
            </w:pPr>
            <w:r>
              <w:rPr>
                <w:rFonts w:hAnsi="宋体" w:eastAsia="宋体"/>
                <w:sz w:val="18"/>
                <w:szCs w:val="18"/>
              </w:rPr>
              <w:t>检查投标文件在内容与项目上的完整性，针对投标人提出的非实质性商务偏差，评价其是否合理</w:t>
            </w:r>
            <w:r>
              <w:rPr>
                <w:rFonts w:hint="eastAsia" w:hAnsi="宋体" w:eastAsia="宋体"/>
                <w:sz w:val="18"/>
                <w:szCs w:val="18"/>
              </w:rPr>
              <w:t>进行打分：</w:t>
            </w:r>
          </w:p>
          <w:p>
            <w:pPr>
              <w:snapToGrid w:val="0"/>
              <w:spacing w:line="0" w:lineRule="atLeast"/>
              <w:rPr>
                <w:rFonts w:ascii="宋体" w:hAnsi="宋体" w:eastAsia="宋体" w:cs="宋体"/>
                <w:sz w:val="18"/>
                <w:szCs w:val="18"/>
              </w:rPr>
            </w:pPr>
            <w:r>
              <w:rPr>
                <w:rFonts w:hint="eastAsia" w:ascii="宋体" w:hAnsi="宋体" w:eastAsia="宋体" w:cs="宋体"/>
                <w:sz w:val="18"/>
                <w:szCs w:val="18"/>
              </w:rPr>
              <w:t>非常科学、合理、可行的得4分；</w:t>
            </w:r>
          </w:p>
          <w:p>
            <w:pPr>
              <w:snapToGrid w:val="0"/>
              <w:spacing w:line="0" w:lineRule="atLeast"/>
              <w:rPr>
                <w:rFonts w:ascii="宋体" w:hAnsi="宋体" w:eastAsia="宋体" w:cs="宋体"/>
                <w:sz w:val="18"/>
                <w:szCs w:val="18"/>
              </w:rPr>
            </w:pPr>
            <w:r>
              <w:rPr>
                <w:rFonts w:hint="eastAsia" w:ascii="宋体" w:hAnsi="宋体" w:eastAsia="宋体" w:cs="宋体"/>
                <w:sz w:val="18"/>
                <w:szCs w:val="18"/>
              </w:rPr>
              <w:t>比较合理、可行的得2~3分；</w:t>
            </w:r>
          </w:p>
          <w:p>
            <w:pPr>
              <w:snapToGrid w:val="0"/>
              <w:spacing w:line="0" w:lineRule="atLeast"/>
              <w:rPr>
                <w:rFonts w:ascii="宋体" w:hAnsi="宋体" w:eastAsia="宋体" w:cs="宋体"/>
                <w:sz w:val="18"/>
                <w:szCs w:val="18"/>
              </w:rPr>
            </w:pPr>
            <w:r>
              <w:rPr>
                <w:rFonts w:hint="eastAsia" w:ascii="宋体" w:hAnsi="宋体" w:eastAsia="宋体" w:cs="宋体"/>
                <w:sz w:val="18"/>
                <w:szCs w:val="18"/>
              </w:rPr>
              <w:t>基本合理的得0~1分；</w:t>
            </w:r>
          </w:p>
          <w:p>
            <w:pPr>
              <w:snapToGrid w:val="0"/>
              <w:spacing w:line="0" w:lineRule="atLeast"/>
              <w:rPr>
                <w:rFonts w:ascii="宋体" w:hAnsi="宋体" w:eastAsia="宋体" w:cs="宋体"/>
                <w:sz w:val="18"/>
                <w:szCs w:val="18"/>
              </w:rPr>
            </w:pPr>
            <w:r>
              <w:rPr>
                <w:rFonts w:hint="eastAsia" w:ascii="宋体" w:hAnsi="宋体" w:eastAsia="宋体" w:cs="宋体"/>
                <w:sz w:val="18"/>
                <w:szCs w:val="18"/>
              </w:rPr>
              <w:t>本项最多得3分；缺项或无实质性内容的不得分。</w:t>
            </w:r>
          </w:p>
        </w:tc>
        <w:tc>
          <w:tcPr>
            <w:tcW w:w="632"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宋体" w:hAnsi="宋体" w:eastAsia="宋体" w:cs="宋体"/>
                <w:sz w:val="18"/>
                <w:szCs w:val="18"/>
              </w:rPr>
            </w:pPr>
          </w:p>
        </w:tc>
        <w:tc>
          <w:tcPr>
            <w:tcW w:w="1489" w:type="dxa"/>
            <w:vMerge w:val="continue"/>
            <w:vAlign w:val="center"/>
          </w:tcPr>
          <w:p>
            <w:pPr>
              <w:jc w:val="center"/>
              <w:rPr>
                <w:rFonts w:ascii="宋体" w:hAnsi="宋体" w:eastAsia="宋体" w:cs="宋体"/>
                <w:sz w:val="18"/>
                <w:szCs w:val="18"/>
              </w:rPr>
            </w:pPr>
          </w:p>
        </w:tc>
        <w:tc>
          <w:tcPr>
            <w:tcW w:w="1992" w:type="dxa"/>
            <w:vAlign w:val="center"/>
          </w:tcPr>
          <w:p>
            <w:pPr>
              <w:snapToGrid w:val="0"/>
              <w:spacing w:line="0" w:lineRule="atLeast"/>
              <w:jc w:val="center"/>
              <w:rPr>
                <w:rFonts w:hAnsi="宋体" w:eastAsia="宋体"/>
                <w:sz w:val="18"/>
                <w:szCs w:val="18"/>
              </w:rPr>
            </w:pPr>
            <w:r>
              <w:rPr>
                <w:rFonts w:hAnsi="宋体" w:eastAsia="宋体"/>
                <w:sz w:val="18"/>
                <w:szCs w:val="18"/>
              </w:rPr>
              <w:t>企业信誉</w:t>
            </w:r>
          </w:p>
        </w:tc>
        <w:tc>
          <w:tcPr>
            <w:tcW w:w="3353" w:type="dxa"/>
          </w:tcPr>
          <w:p>
            <w:pPr>
              <w:snapToGrid w:val="0"/>
              <w:spacing w:line="0" w:lineRule="atLeast"/>
              <w:rPr>
                <w:rFonts w:ascii="宋体" w:hAnsi="宋体" w:eastAsia="宋体" w:cs="宋体"/>
                <w:sz w:val="18"/>
                <w:szCs w:val="18"/>
              </w:rPr>
            </w:pPr>
            <w:r>
              <w:rPr>
                <w:rFonts w:hAnsi="宋体" w:eastAsia="宋体"/>
                <w:sz w:val="18"/>
                <w:szCs w:val="18"/>
              </w:rPr>
              <w:t>供应商信用评价结果分为A、B、C三个等级</w:t>
            </w:r>
            <w:r>
              <w:rPr>
                <w:rFonts w:hint="eastAsia" w:hAnsi="宋体" w:eastAsia="宋体"/>
                <w:sz w:val="18"/>
                <w:szCs w:val="18"/>
              </w:rPr>
              <w:t>（A得3分，B得2分，C得1分）</w:t>
            </w:r>
          </w:p>
        </w:tc>
        <w:tc>
          <w:tcPr>
            <w:tcW w:w="632"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宋体" w:hAnsi="宋体" w:eastAsia="宋体" w:cs="宋体"/>
                <w:sz w:val="18"/>
                <w:szCs w:val="18"/>
              </w:rPr>
            </w:pPr>
          </w:p>
        </w:tc>
        <w:tc>
          <w:tcPr>
            <w:tcW w:w="1489" w:type="dxa"/>
            <w:vMerge w:val="continue"/>
            <w:vAlign w:val="center"/>
          </w:tcPr>
          <w:p>
            <w:pPr>
              <w:jc w:val="center"/>
              <w:rPr>
                <w:rFonts w:ascii="宋体" w:hAnsi="宋体" w:eastAsia="宋体" w:cs="宋体"/>
                <w:sz w:val="18"/>
                <w:szCs w:val="18"/>
              </w:rPr>
            </w:pPr>
          </w:p>
        </w:tc>
        <w:tc>
          <w:tcPr>
            <w:tcW w:w="1992" w:type="dxa"/>
            <w:vAlign w:val="center"/>
          </w:tcPr>
          <w:p>
            <w:pPr>
              <w:snapToGrid w:val="0"/>
              <w:spacing w:line="0" w:lineRule="atLeast"/>
              <w:jc w:val="center"/>
              <w:rPr>
                <w:rFonts w:hAnsi="宋体" w:eastAsia="宋体"/>
                <w:sz w:val="18"/>
                <w:szCs w:val="18"/>
              </w:rPr>
            </w:pPr>
            <w:r>
              <w:rPr>
                <w:rFonts w:hAnsi="宋体" w:eastAsia="宋体"/>
                <w:sz w:val="18"/>
                <w:szCs w:val="18"/>
              </w:rPr>
              <w:t>财务状况</w:t>
            </w:r>
          </w:p>
        </w:tc>
        <w:tc>
          <w:tcPr>
            <w:tcW w:w="3353" w:type="dxa"/>
          </w:tcPr>
          <w:p>
            <w:pPr>
              <w:snapToGrid w:val="0"/>
              <w:spacing w:line="0" w:lineRule="atLeast"/>
              <w:rPr>
                <w:rFonts w:ascii="宋体" w:hAnsi="宋体" w:eastAsia="宋体" w:cs="宋体"/>
                <w:sz w:val="18"/>
                <w:szCs w:val="18"/>
              </w:rPr>
            </w:pPr>
            <w:r>
              <w:rPr>
                <w:rFonts w:hAnsi="宋体" w:eastAsia="宋体"/>
                <w:sz w:val="18"/>
                <w:szCs w:val="18"/>
              </w:rPr>
              <w:t>评价投标人近3年财务状况</w:t>
            </w:r>
            <w:r>
              <w:rPr>
                <w:rFonts w:hint="eastAsia" w:hAnsi="宋体" w:eastAsia="宋体"/>
                <w:sz w:val="18"/>
                <w:szCs w:val="18"/>
              </w:rPr>
              <w:t>（优得</w:t>
            </w:r>
            <w:r>
              <w:rPr>
                <w:rFonts w:hAnsi="宋体" w:eastAsia="宋体"/>
                <w:sz w:val="18"/>
                <w:szCs w:val="18"/>
              </w:rPr>
              <w:t>3</w:t>
            </w:r>
            <w:r>
              <w:rPr>
                <w:rFonts w:hint="eastAsia" w:hAnsi="宋体" w:eastAsia="宋体"/>
                <w:sz w:val="18"/>
                <w:szCs w:val="18"/>
              </w:rPr>
              <w:t>分，良得</w:t>
            </w:r>
            <w:r>
              <w:rPr>
                <w:rFonts w:hAnsi="宋体" w:eastAsia="宋体"/>
                <w:sz w:val="18"/>
                <w:szCs w:val="18"/>
              </w:rPr>
              <w:t>2</w:t>
            </w:r>
            <w:r>
              <w:rPr>
                <w:rFonts w:hint="eastAsia" w:hAnsi="宋体" w:eastAsia="宋体"/>
                <w:sz w:val="18"/>
                <w:szCs w:val="18"/>
              </w:rPr>
              <w:t>分，差得</w:t>
            </w:r>
            <w:r>
              <w:rPr>
                <w:rFonts w:hAnsi="宋体" w:eastAsia="宋体"/>
                <w:sz w:val="18"/>
                <w:szCs w:val="18"/>
              </w:rPr>
              <w:t>1</w:t>
            </w:r>
            <w:r>
              <w:rPr>
                <w:rFonts w:hint="eastAsia" w:hAnsi="宋体" w:eastAsia="宋体"/>
                <w:sz w:val="18"/>
                <w:szCs w:val="18"/>
              </w:rPr>
              <w:t>分）</w:t>
            </w:r>
          </w:p>
        </w:tc>
        <w:tc>
          <w:tcPr>
            <w:tcW w:w="632"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宋体" w:hAnsi="宋体" w:eastAsia="宋体" w:cs="宋体"/>
                <w:sz w:val="18"/>
                <w:szCs w:val="18"/>
              </w:rPr>
            </w:pPr>
          </w:p>
        </w:tc>
        <w:tc>
          <w:tcPr>
            <w:tcW w:w="1489" w:type="dxa"/>
            <w:vMerge w:val="continue"/>
            <w:vAlign w:val="center"/>
          </w:tcPr>
          <w:p>
            <w:pPr>
              <w:jc w:val="center"/>
              <w:rPr>
                <w:rFonts w:ascii="宋体" w:hAnsi="宋体" w:eastAsia="宋体" w:cs="宋体"/>
                <w:sz w:val="18"/>
                <w:szCs w:val="18"/>
              </w:rPr>
            </w:pPr>
          </w:p>
        </w:tc>
        <w:tc>
          <w:tcPr>
            <w:tcW w:w="1992" w:type="dxa"/>
            <w:vAlign w:val="center"/>
          </w:tcPr>
          <w:p>
            <w:pPr>
              <w:snapToGrid w:val="0"/>
              <w:spacing w:line="0" w:lineRule="atLeast"/>
              <w:jc w:val="center"/>
              <w:rPr>
                <w:rFonts w:ascii="宋体" w:hAnsi="宋体" w:eastAsia="宋体" w:cs="宋体"/>
                <w:sz w:val="18"/>
                <w:szCs w:val="18"/>
              </w:rPr>
            </w:pPr>
            <w:r>
              <w:rPr>
                <w:rFonts w:hAnsi="宋体" w:eastAsia="宋体"/>
                <w:sz w:val="18"/>
                <w:szCs w:val="18"/>
              </w:rPr>
              <w:t>投标人业绩</w:t>
            </w:r>
          </w:p>
        </w:tc>
        <w:tc>
          <w:tcPr>
            <w:tcW w:w="3353" w:type="dxa"/>
          </w:tcPr>
          <w:p>
            <w:pPr>
              <w:snapToGrid w:val="0"/>
              <w:spacing w:line="0" w:lineRule="atLeast"/>
              <w:rPr>
                <w:rFonts w:ascii="宋体" w:hAnsi="宋体" w:eastAsia="宋体" w:cs="宋体"/>
                <w:sz w:val="18"/>
                <w:szCs w:val="18"/>
              </w:rPr>
            </w:pPr>
            <w:r>
              <w:rPr>
                <w:rFonts w:hint="eastAsia" w:ascii="宋体" w:hAnsi="宋体" w:eastAsia="宋体" w:cs="宋体"/>
                <w:sz w:val="18"/>
                <w:szCs w:val="18"/>
              </w:rPr>
              <w:t>审查投标人的以往业绩情况，以及用户的证明材料，每个类似业绩得2分，最高10分。</w:t>
            </w:r>
          </w:p>
          <w:p>
            <w:pPr>
              <w:snapToGrid w:val="0"/>
              <w:spacing w:line="0" w:lineRule="atLeast"/>
              <w:rPr>
                <w:rFonts w:ascii="宋体" w:hAnsi="宋体" w:eastAsia="宋体" w:cs="宋体"/>
                <w:sz w:val="18"/>
                <w:szCs w:val="18"/>
              </w:rPr>
            </w:pPr>
            <w:r>
              <w:rPr>
                <w:rFonts w:hint="eastAsia" w:ascii="宋体" w:hAnsi="宋体" w:eastAsia="宋体" w:cs="宋体"/>
                <w:sz w:val="18"/>
                <w:szCs w:val="18"/>
              </w:rPr>
              <w:t>注：①业绩证明材料：合同协议书（包括联合体协议书）或批复文件扫描件。</w:t>
            </w:r>
          </w:p>
        </w:tc>
        <w:tc>
          <w:tcPr>
            <w:tcW w:w="632" w:type="dxa"/>
            <w:vAlign w:val="center"/>
          </w:tcPr>
          <w:p>
            <w:pPr>
              <w:jc w:val="center"/>
              <w:rPr>
                <w:rFonts w:ascii="宋体" w:hAnsi="宋体" w:eastAsia="宋体" w:cs="宋体"/>
                <w:sz w:val="18"/>
                <w:szCs w:val="18"/>
              </w:rPr>
            </w:pPr>
            <w:r>
              <w:rPr>
                <w:rFonts w:hint="eastAsia" w:ascii="宋体" w:hAnsi="宋体" w:eastAsia="宋体" w:cs="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3.1.3（2）</w:t>
            </w:r>
          </w:p>
        </w:tc>
        <w:tc>
          <w:tcPr>
            <w:tcW w:w="1489"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技术评分</w:t>
            </w:r>
          </w:p>
          <w:p>
            <w:pPr>
              <w:jc w:val="center"/>
              <w:rPr>
                <w:rFonts w:ascii="宋体" w:hAnsi="宋体" w:eastAsia="宋体" w:cs="宋体"/>
                <w:sz w:val="18"/>
                <w:szCs w:val="18"/>
              </w:rPr>
            </w:pPr>
            <w:r>
              <w:rPr>
                <w:rFonts w:hint="eastAsia" w:ascii="宋体" w:hAnsi="宋体" w:eastAsia="宋体" w:cs="宋体"/>
                <w:sz w:val="18"/>
                <w:szCs w:val="18"/>
              </w:rPr>
              <w:t>（20%）</w:t>
            </w:r>
          </w:p>
        </w:tc>
        <w:tc>
          <w:tcPr>
            <w:tcW w:w="1992" w:type="dxa"/>
            <w:vAlign w:val="center"/>
          </w:tcPr>
          <w:p>
            <w:pPr>
              <w:snapToGrid w:val="0"/>
              <w:spacing w:line="0" w:lineRule="atLeast"/>
              <w:jc w:val="center"/>
              <w:rPr>
                <w:rFonts w:ascii="宋体" w:hAnsi="宋体" w:eastAsia="宋体" w:cs="宋体"/>
                <w:sz w:val="18"/>
                <w:szCs w:val="18"/>
              </w:rPr>
            </w:pPr>
            <w:r>
              <w:rPr>
                <w:rFonts w:hint="eastAsia" w:ascii="宋体" w:hAnsi="宋体" w:eastAsia="宋体" w:cs="宋体"/>
                <w:sz w:val="18"/>
                <w:szCs w:val="18"/>
              </w:rPr>
              <w:t>技术方案</w:t>
            </w:r>
          </w:p>
        </w:tc>
        <w:tc>
          <w:tcPr>
            <w:tcW w:w="3353" w:type="dxa"/>
          </w:tcPr>
          <w:p>
            <w:pPr>
              <w:snapToGrid w:val="0"/>
              <w:spacing w:line="0" w:lineRule="atLeast"/>
              <w:rPr>
                <w:rFonts w:ascii="宋体" w:hAnsi="宋体" w:eastAsia="宋体" w:cs="宋体"/>
                <w:sz w:val="18"/>
                <w:szCs w:val="18"/>
              </w:rPr>
            </w:pPr>
            <w:r>
              <w:rPr>
                <w:rFonts w:hint="eastAsia" w:ascii="宋体" w:hAnsi="宋体" w:eastAsia="宋体" w:cs="宋体"/>
                <w:sz w:val="18"/>
                <w:szCs w:val="18"/>
              </w:rPr>
              <w:t>根据技术方案内容的完整性、针对性和可行性等进行综合打分；</w:t>
            </w:r>
          </w:p>
          <w:p>
            <w:pPr>
              <w:snapToGrid w:val="0"/>
              <w:spacing w:line="0" w:lineRule="atLeast"/>
              <w:rPr>
                <w:rFonts w:ascii="宋体" w:hAnsi="宋体" w:eastAsia="宋体" w:cs="宋体"/>
                <w:sz w:val="18"/>
                <w:szCs w:val="18"/>
              </w:rPr>
            </w:pPr>
            <w:r>
              <w:rPr>
                <w:rFonts w:hint="eastAsia" w:ascii="宋体" w:hAnsi="宋体" w:eastAsia="宋体" w:cs="宋体"/>
                <w:sz w:val="18"/>
                <w:szCs w:val="18"/>
              </w:rPr>
              <w:t>非常科学、合理、可行的得5分；</w:t>
            </w:r>
          </w:p>
          <w:p>
            <w:pPr>
              <w:snapToGrid w:val="0"/>
              <w:spacing w:line="0" w:lineRule="atLeast"/>
              <w:rPr>
                <w:rFonts w:ascii="宋体" w:hAnsi="宋体" w:eastAsia="宋体" w:cs="宋体"/>
                <w:sz w:val="18"/>
                <w:szCs w:val="18"/>
              </w:rPr>
            </w:pPr>
            <w:r>
              <w:rPr>
                <w:rFonts w:hint="eastAsia" w:ascii="宋体" w:hAnsi="宋体" w:eastAsia="宋体" w:cs="宋体"/>
                <w:sz w:val="18"/>
                <w:szCs w:val="18"/>
              </w:rPr>
              <w:t>比较合理、可行的得3~4分；</w:t>
            </w:r>
          </w:p>
          <w:p>
            <w:pPr>
              <w:snapToGrid w:val="0"/>
              <w:spacing w:line="0" w:lineRule="atLeast"/>
              <w:rPr>
                <w:rFonts w:ascii="宋体" w:hAnsi="宋体" w:eastAsia="宋体" w:cs="宋体"/>
                <w:sz w:val="18"/>
                <w:szCs w:val="18"/>
              </w:rPr>
            </w:pPr>
            <w:r>
              <w:rPr>
                <w:rFonts w:hint="eastAsia" w:ascii="宋体" w:hAnsi="宋体" w:eastAsia="宋体" w:cs="宋体"/>
                <w:sz w:val="18"/>
                <w:szCs w:val="18"/>
              </w:rPr>
              <w:t>基本合理的得0~2分；</w:t>
            </w:r>
          </w:p>
          <w:p>
            <w:pPr>
              <w:snapToGrid w:val="0"/>
              <w:spacing w:line="0" w:lineRule="atLeast"/>
              <w:rPr>
                <w:rFonts w:ascii="宋体" w:hAnsi="宋体" w:eastAsia="宋体" w:cs="宋体"/>
                <w:sz w:val="18"/>
                <w:szCs w:val="18"/>
              </w:rPr>
            </w:pPr>
            <w:r>
              <w:rPr>
                <w:rFonts w:hint="eastAsia" w:ascii="宋体" w:hAnsi="宋体" w:eastAsia="宋体" w:cs="宋体"/>
                <w:sz w:val="18"/>
                <w:szCs w:val="18"/>
              </w:rPr>
              <w:t>本项最多得5分；缺项或无实质性内容的不得分。</w:t>
            </w:r>
          </w:p>
        </w:tc>
        <w:tc>
          <w:tcPr>
            <w:tcW w:w="632"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宋体" w:hAnsi="宋体" w:eastAsia="宋体" w:cs="宋体"/>
                <w:sz w:val="18"/>
                <w:szCs w:val="18"/>
              </w:rPr>
            </w:pPr>
          </w:p>
        </w:tc>
        <w:tc>
          <w:tcPr>
            <w:tcW w:w="1489" w:type="dxa"/>
            <w:vMerge w:val="continue"/>
            <w:vAlign w:val="center"/>
          </w:tcPr>
          <w:p>
            <w:pPr>
              <w:jc w:val="center"/>
              <w:rPr>
                <w:rFonts w:ascii="宋体" w:hAnsi="宋体" w:eastAsia="宋体" w:cs="宋体"/>
                <w:sz w:val="18"/>
                <w:szCs w:val="18"/>
              </w:rPr>
            </w:pPr>
          </w:p>
        </w:tc>
        <w:tc>
          <w:tcPr>
            <w:tcW w:w="1992" w:type="dxa"/>
            <w:vAlign w:val="center"/>
          </w:tcPr>
          <w:p>
            <w:pPr>
              <w:snapToGrid w:val="0"/>
              <w:spacing w:line="0" w:lineRule="atLeast"/>
              <w:jc w:val="center"/>
              <w:rPr>
                <w:rFonts w:ascii="宋体" w:hAnsi="宋体" w:eastAsia="宋体" w:cs="宋体"/>
                <w:sz w:val="18"/>
                <w:szCs w:val="18"/>
              </w:rPr>
            </w:pPr>
            <w:r>
              <w:rPr>
                <w:rFonts w:hint="eastAsia" w:ascii="宋体" w:hAnsi="宋体" w:eastAsia="宋体" w:cs="宋体"/>
                <w:sz w:val="18"/>
                <w:szCs w:val="18"/>
              </w:rPr>
              <w:t>计划和进度安排</w:t>
            </w:r>
          </w:p>
        </w:tc>
        <w:tc>
          <w:tcPr>
            <w:tcW w:w="3353" w:type="dxa"/>
          </w:tcPr>
          <w:p>
            <w:pPr>
              <w:snapToGrid w:val="0"/>
              <w:spacing w:line="0" w:lineRule="atLeast"/>
              <w:rPr>
                <w:rFonts w:ascii="宋体" w:hAnsi="宋体" w:eastAsia="宋体" w:cs="宋体"/>
                <w:sz w:val="18"/>
                <w:szCs w:val="18"/>
              </w:rPr>
            </w:pPr>
            <w:r>
              <w:rPr>
                <w:rFonts w:hint="eastAsia" w:ascii="宋体" w:hAnsi="宋体" w:eastAsia="宋体" w:cs="宋体"/>
                <w:sz w:val="18"/>
                <w:szCs w:val="18"/>
              </w:rPr>
              <w:t>根据项目进度安排的合理性与系统性等进行综合打分；</w:t>
            </w:r>
          </w:p>
          <w:p>
            <w:pPr>
              <w:snapToGrid w:val="0"/>
              <w:spacing w:line="0" w:lineRule="atLeast"/>
              <w:rPr>
                <w:rFonts w:ascii="宋体" w:hAnsi="宋体" w:eastAsia="宋体" w:cs="宋体"/>
                <w:sz w:val="18"/>
                <w:szCs w:val="18"/>
              </w:rPr>
            </w:pPr>
            <w:r>
              <w:rPr>
                <w:rFonts w:hint="eastAsia" w:ascii="宋体" w:hAnsi="宋体" w:eastAsia="宋体" w:cs="宋体"/>
                <w:sz w:val="18"/>
                <w:szCs w:val="18"/>
              </w:rPr>
              <w:t>非常科学、合理、可行的得3分；</w:t>
            </w:r>
          </w:p>
          <w:p>
            <w:pPr>
              <w:snapToGrid w:val="0"/>
              <w:spacing w:line="0" w:lineRule="atLeast"/>
              <w:rPr>
                <w:rFonts w:ascii="宋体" w:hAnsi="宋体" w:eastAsia="宋体" w:cs="宋体"/>
                <w:sz w:val="18"/>
                <w:szCs w:val="18"/>
              </w:rPr>
            </w:pPr>
            <w:r>
              <w:rPr>
                <w:rFonts w:hint="eastAsia" w:ascii="宋体" w:hAnsi="宋体" w:eastAsia="宋体" w:cs="宋体"/>
                <w:sz w:val="18"/>
                <w:szCs w:val="18"/>
              </w:rPr>
              <w:t>比较合理、可行的得2分；</w:t>
            </w:r>
          </w:p>
          <w:p>
            <w:pPr>
              <w:snapToGrid w:val="0"/>
              <w:spacing w:line="0" w:lineRule="atLeast"/>
              <w:rPr>
                <w:rFonts w:ascii="宋体" w:hAnsi="宋体" w:eastAsia="宋体" w:cs="宋体"/>
                <w:sz w:val="18"/>
                <w:szCs w:val="18"/>
              </w:rPr>
            </w:pPr>
            <w:r>
              <w:rPr>
                <w:rFonts w:hint="eastAsia" w:ascii="宋体" w:hAnsi="宋体" w:eastAsia="宋体" w:cs="宋体"/>
                <w:sz w:val="18"/>
                <w:szCs w:val="18"/>
              </w:rPr>
              <w:t>基本合理的得0~1分；</w:t>
            </w:r>
          </w:p>
          <w:p>
            <w:pPr>
              <w:snapToGrid w:val="0"/>
              <w:spacing w:line="0" w:lineRule="atLeast"/>
              <w:rPr>
                <w:rFonts w:ascii="宋体" w:hAnsi="宋体" w:eastAsia="宋体" w:cs="宋体"/>
                <w:sz w:val="18"/>
                <w:szCs w:val="18"/>
              </w:rPr>
            </w:pPr>
            <w:r>
              <w:rPr>
                <w:rFonts w:hint="eastAsia" w:ascii="宋体" w:hAnsi="宋体" w:eastAsia="宋体" w:cs="宋体"/>
                <w:sz w:val="18"/>
                <w:szCs w:val="18"/>
              </w:rPr>
              <w:t>本项最多得3分；缺项或无实质性内容的不得分。</w:t>
            </w:r>
          </w:p>
        </w:tc>
        <w:tc>
          <w:tcPr>
            <w:tcW w:w="632"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宋体" w:hAnsi="宋体" w:eastAsia="宋体" w:cs="宋体"/>
                <w:sz w:val="18"/>
                <w:szCs w:val="18"/>
              </w:rPr>
            </w:pPr>
          </w:p>
        </w:tc>
        <w:tc>
          <w:tcPr>
            <w:tcW w:w="1489" w:type="dxa"/>
            <w:vMerge w:val="continue"/>
            <w:vAlign w:val="center"/>
          </w:tcPr>
          <w:p>
            <w:pPr>
              <w:jc w:val="center"/>
              <w:rPr>
                <w:rFonts w:ascii="宋体" w:hAnsi="宋体" w:eastAsia="宋体" w:cs="宋体"/>
                <w:sz w:val="18"/>
                <w:szCs w:val="18"/>
              </w:rPr>
            </w:pPr>
          </w:p>
        </w:tc>
        <w:tc>
          <w:tcPr>
            <w:tcW w:w="1992" w:type="dxa"/>
            <w:vAlign w:val="center"/>
          </w:tcPr>
          <w:p>
            <w:pPr>
              <w:snapToGrid w:val="0"/>
              <w:spacing w:line="0" w:lineRule="atLeast"/>
              <w:jc w:val="center"/>
              <w:rPr>
                <w:rFonts w:ascii="宋体" w:hAnsi="宋体" w:eastAsia="宋体" w:cs="宋体"/>
                <w:sz w:val="18"/>
                <w:szCs w:val="18"/>
              </w:rPr>
            </w:pPr>
            <w:r>
              <w:rPr>
                <w:rFonts w:hint="eastAsia" w:ascii="宋体" w:hAnsi="宋体" w:eastAsia="宋体" w:cs="宋体"/>
                <w:sz w:val="18"/>
                <w:szCs w:val="18"/>
              </w:rPr>
              <w:t>服务、质量保障措施</w:t>
            </w:r>
          </w:p>
        </w:tc>
        <w:tc>
          <w:tcPr>
            <w:tcW w:w="3353" w:type="dxa"/>
          </w:tcPr>
          <w:p>
            <w:pPr>
              <w:snapToGrid w:val="0"/>
              <w:spacing w:line="0" w:lineRule="atLeast"/>
              <w:rPr>
                <w:rFonts w:ascii="宋体" w:hAnsi="宋体" w:eastAsia="宋体" w:cs="宋体"/>
                <w:sz w:val="18"/>
                <w:szCs w:val="18"/>
              </w:rPr>
            </w:pPr>
            <w:r>
              <w:rPr>
                <w:rFonts w:hint="eastAsia" w:ascii="宋体" w:hAnsi="宋体" w:eastAsia="宋体" w:cs="宋体"/>
                <w:sz w:val="18"/>
                <w:szCs w:val="18"/>
              </w:rPr>
              <w:t>根据服务、质量保障措施是否合理可行，能否满足本项目实施需要等进行综合打分；</w:t>
            </w:r>
          </w:p>
          <w:p>
            <w:pPr>
              <w:snapToGrid w:val="0"/>
              <w:spacing w:line="0" w:lineRule="atLeast"/>
              <w:rPr>
                <w:rFonts w:ascii="宋体" w:hAnsi="宋体" w:eastAsia="宋体" w:cs="宋体"/>
                <w:sz w:val="18"/>
                <w:szCs w:val="18"/>
              </w:rPr>
            </w:pPr>
            <w:r>
              <w:rPr>
                <w:rFonts w:hint="eastAsia" w:ascii="宋体" w:hAnsi="宋体" w:eastAsia="宋体" w:cs="宋体"/>
                <w:sz w:val="18"/>
                <w:szCs w:val="18"/>
              </w:rPr>
              <w:t>非常科学、合理、可行的得2分；</w:t>
            </w:r>
          </w:p>
          <w:p>
            <w:pPr>
              <w:snapToGrid w:val="0"/>
              <w:spacing w:line="0" w:lineRule="atLeast"/>
              <w:rPr>
                <w:rFonts w:ascii="宋体" w:hAnsi="宋体" w:eastAsia="宋体" w:cs="宋体"/>
                <w:sz w:val="18"/>
                <w:szCs w:val="18"/>
              </w:rPr>
            </w:pPr>
            <w:r>
              <w:rPr>
                <w:rFonts w:hint="eastAsia" w:ascii="宋体" w:hAnsi="宋体" w:eastAsia="宋体" w:cs="宋体"/>
                <w:sz w:val="18"/>
                <w:szCs w:val="18"/>
              </w:rPr>
              <w:t>比较合理、可行的得1分；</w:t>
            </w:r>
          </w:p>
          <w:p>
            <w:pPr>
              <w:snapToGrid w:val="0"/>
              <w:spacing w:line="0" w:lineRule="atLeast"/>
              <w:rPr>
                <w:rFonts w:ascii="宋体" w:hAnsi="宋体" w:eastAsia="宋体" w:cs="宋体"/>
                <w:sz w:val="18"/>
                <w:szCs w:val="18"/>
              </w:rPr>
            </w:pPr>
            <w:r>
              <w:rPr>
                <w:rFonts w:hint="eastAsia" w:ascii="宋体" w:hAnsi="宋体" w:eastAsia="宋体" w:cs="宋体"/>
                <w:sz w:val="18"/>
                <w:szCs w:val="18"/>
              </w:rPr>
              <w:t>基本合理的得0分；</w:t>
            </w:r>
          </w:p>
          <w:p>
            <w:pPr>
              <w:snapToGrid w:val="0"/>
              <w:spacing w:line="0" w:lineRule="atLeast"/>
              <w:rPr>
                <w:rFonts w:ascii="宋体" w:hAnsi="宋体" w:eastAsia="宋体" w:cs="宋体"/>
                <w:sz w:val="18"/>
                <w:szCs w:val="18"/>
              </w:rPr>
            </w:pPr>
            <w:r>
              <w:rPr>
                <w:rFonts w:hint="eastAsia" w:ascii="宋体" w:hAnsi="宋体" w:eastAsia="宋体" w:cs="宋体"/>
                <w:sz w:val="18"/>
                <w:szCs w:val="18"/>
              </w:rPr>
              <w:t>本项最多得2分；缺项或无实质性内容的不得分。</w:t>
            </w:r>
          </w:p>
        </w:tc>
        <w:tc>
          <w:tcPr>
            <w:tcW w:w="632"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宋体" w:hAnsi="宋体" w:eastAsia="宋体" w:cs="宋体"/>
                <w:sz w:val="18"/>
                <w:szCs w:val="18"/>
              </w:rPr>
            </w:pPr>
          </w:p>
        </w:tc>
        <w:tc>
          <w:tcPr>
            <w:tcW w:w="1489" w:type="dxa"/>
            <w:vMerge w:val="continue"/>
            <w:vAlign w:val="center"/>
          </w:tcPr>
          <w:p>
            <w:pPr>
              <w:jc w:val="center"/>
              <w:rPr>
                <w:rFonts w:ascii="宋体" w:hAnsi="宋体" w:eastAsia="宋体" w:cs="宋体"/>
                <w:sz w:val="18"/>
                <w:szCs w:val="18"/>
              </w:rPr>
            </w:pPr>
          </w:p>
        </w:tc>
        <w:tc>
          <w:tcPr>
            <w:tcW w:w="1992" w:type="dxa"/>
            <w:vAlign w:val="center"/>
          </w:tcPr>
          <w:p>
            <w:pPr>
              <w:snapToGrid w:val="0"/>
              <w:spacing w:line="0" w:lineRule="atLeast"/>
              <w:jc w:val="center"/>
              <w:rPr>
                <w:rFonts w:ascii="宋体" w:hAnsi="宋体" w:eastAsia="宋体" w:cs="宋体"/>
                <w:sz w:val="18"/>
                <w:szCs w:val="18"/>
              </w:rPr>
            </w:pPr>
            <w:r>
              <w:rPr>
                <w:rFonts w:hint="eastAsia" w:ascii="宋体" w:hAnsi="宋体" w:eastAsia="宋体" w:cs="宋体"/>
                <w:sz w:val="18"/>
                <w:szCs w:val="18"/>
              </w:rPr>
              <w:t>项目团队配置</w:t>
            </w:r>
          </w:p>
        </w:tc>
        <w:tc>
          <w:tcPr>
            <w:tcW w:w="3353" w:type="dxa"/>
          </w:tcPr>
          <w:p>
            <w:pPr>
              <w:snapToGrid w:val="0"/>
              <w:spacing w:line="0" w:lineRule="atLeast"/>
              <w:rPr>
                <w:rFonts w:ascii="宋体" w:hAnsi="宋体" w:eastAsia="宋体" w:cs="宋体"/>
                <w:sz w:val="18"/>
                <w:szCs w:val="18"/>
              </w:rPr>
            </w:pPr>
            <w:r>
              <w:rPr>
                <w:rFonts w:hint="eastAsia" w:ascii="宋体" w:hAnsi="宋体" w:eastAsia="宋体" w:cs="宋体"/>
                <w:sz w:val="18"/>
                <w:szCs w:val="18"/>
              </w:rPr>
              <w:t>根据人员配置的完整性、合理性等进行综合打分；</w:t>
            </w:r>
          </w:p>
          <w:p>
            <w:pPr>
              <w:snapToGrid w:val="0"/>
              <w:spacing w:line="0" w:lineRule="atLeast"/>
              <w:rPr>
                <w:rFonts w:ascii="宋体" w:hAnsi="宋体" w:eastAsia="宋体" w:cs="宋体"/>
                <w:sz w:val="18"/>
                <w:szCs w:val="18"/>
              </w:rPr>
            </w:pPr>
            <w:r>
              <w:rPr>
                <w:rFonts w:hint="eastAsia" w:ascii="宋体" w:hAnsi="宋体" w:eastAsia="宋体" w:cs="宋体"/>
                <w:sz w:val="18"/>
                <w:szCs w:val="18"/>
              </w:rPr>
              <w:t>非常科学、合理、可行的得5分；</w:t>
            </w:r>
          </w:p>
          <w:p>
            <w:pPr>
              <w:snapToGrid w:val="0"/>
              <w:spacing w:line="0" w:lineRule="atLeast"/>
              <w:rPr>
                <w:rFonts w:ascii="宋体" w:hAnsi="宋体" w:eastAsia="宋体" w:cs="宋体"/>
                <w:sz w:val="18"/>
                <w:szCs w:val="18"/>
              </w:rPr>
            </w:pPr>
            <w:r>
              <w:rPr>
                <w:rFonts w:hint="eastAsia" w:ascii="宋体" w:hAnsi="宋体" w:eastAsia="宋体" w:cs="宋体"/>
                <w:sz w:val="18"/>
                <w:szCs w:val="18"/>
              </w:rPr>
              <w:t>比较合理、可行的得3~4分；</w:t>
            </w:r>
          </w:p>
          <w:p>
            <w:pPr>
              <w:snapToGrid w:val="0"/>
              <w:spacing w:line="0" w:lineRule="atLeast"/>
              <w:rPr>
                <w:rFonts w:ascii="宋体" w:hAnsi="宋体" w:eastAsia="宋体" w:cs="宋体"/>
                <w:sz w:val="18"/>
                <w:szCs w:val="18"/>
              </w:rPr>
            </w:pPr>
            <w:r>
              <w:rPr>
                <w:rFonts w:hint="eastAsia" w:ascii="宋体" w:hAnsi="宋体" w:eastAsia="宋体" w:cs="宋体"/>
                <w:sz w:val="18"/>
                <w:szCs w:val="18"/>
              </w:rPr>
              <w:t>基本合理的得0~2分；</w:t>
            </w:r>
          </w:p>
          <w:p>
            <w:pPr>
              <w:snapToGrid w:val="0"/>
              <w:spacing w:line="0" w:lineRule="atLeast"/>
              <w:rPr>
                <w:rFonts w:ascii="宋体" w:hAnsi="宋体" w:eastAsia="宋体" w:cs="宋体"/>
                <w:sz w:val="18"/>
                <w:szCs w:val="18"/>
              </w:rPr>
            </w:pPr>
            <w:r>
              <w:rPr>
                <w:rFonts w:hint="eastAsia" w:ascii="宋体" w:hAnsi="宋体" w:eastAsia="宋体" w:cs="宋体"/>
                <w:sz w:val="18"/>
                <w:szCs w:val="18"/>
              </w:rPr>
              <w:t>本项最多得5分；缺项或无实质性内容的不得分。</w:t>
            </w:r>
          </w:p>
        </w:tc>
        <w:tc>
          <w:tcPr>
            <w:tcW w:w="632"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宋体" w:hAnsi="宋体" w:eastAsia="宋体" w:cs="宋体"/>
                <w:sz w:val="18"/>
                <w:szCs w:val="18"/>
              </w:rPr>
            </w:pPr>
          </w:p>
        </w:tc>
        <w:tc>
          <w:tcPr>
            <w:tcW w:w="1489" w:type="dxa"/>
            <w:vMerge w:val="continue"/>
            <w:vAlign w:val="center"/>
          </w:tcPr>
          <w:p>
            <w:pPr>
              <w:jc w:val="center"/>
              <w:rPr>
                <w:rFonts w:ascii="宋体" w:hAnsi="宋体" w:eastAsia="宋体" w:cs="宋体"/>
                <w:sz w:val="18"/>
                <w:szCs w:val="18"/>
              </w:rPr>
            </w:pPr>
          </w:p>
        </w:tc>
        <w:tc>
          <w:tcPr>
            <w:tcW w:w="1992" w:type="dxa"/>
            <w:vAlign w:val="center"/>
          </w:tcPr>
          <w:p>
            <w:pPr>
              <w:snapToGrid w:val="0"/>
              <w:spacing w:line="0" w:lineRule="atLeast"/>
              <w:jc w:val="center"/>
              <w:rPr>
                <w:rFonts w:ascii="宋体" w:hAnsi="宋体" w:eastAsia="宋体" w:cs="宋体"/>
                <w:sz w:val="18"/>
                <w:szCs w:val="18"/>
              </w:rPr>
            </w:pPr>
            <w:r>
              <w:rPr>
                <w:rFonts w:hint="eastAsia" w:ascii="宋体" w:hAnsi="宋体" w:eastAsia="宋体" w:cs="宋体"/>
                <w:sz w:val="18"/>
                <w:szCs w:val="18"/>
              </w:rPr>
              <w:t>项目负责人资历</w:t>
            </w:r>
          </w:p>
        </w:tc>
        <w:tc>
          <w:tcPr>
            <w:tcW w:w="3353" w:type="dxa"/>
          </w:tcPr>
          <w:p>
            <w:pPr>
              <w:snapToGrid w:val="0"/>
              <w:spacing w:line="0" w:lineRule="atLeast"/>
              <w:rPr>
                <w:rFonts w:ascii="宋体" w:hAnsi="宋体" w:eastAsia="宋体" w:cs="宋体"/>
                <w:sz w:val="18"/>
                <w:szCs w:val="18"/>
              </w:rPr>
            </w:pPr>
            <w:r>
              <w:rPr>
                <w:rFonts w:hint="eastAsia" w:ascii="宋体" w:hAnsi="宋体" w:eastAsia="宋体" w:cs="宋体"/>
                <w:sz w:val="18"/>
                <w:szCs w:val="18"/>
              </w:rPr>
              <w:t>根据项目负责人资质、业绩、经验、专业能力等进行综合打分；</w:t>
            </w:r>
          </w:p>
          <w:p>
            <w:pPr>
              <w:snapToGrid w:val="0"/>
              <w:spacing w:line="0" w:lineRule="atLeast"/>
              <w:rPr>
                <w:rFonts w:ascii="宋体" w:hAnsi="宋体" w:eastAsia="宋体" w:cs="宋体"/>
                <w:sz w:val="18"/>
                <w:szCs w:val="18"/>
              </w:rPr>
            </w:pPr>
            <w:r>
              <w:rPr>
                <w:rFonts w:hint="eastAsia" w:ascii="宋体" w:hAnsi="宋体" w:eastAsia="宋体" w:cs="宋体"/>
                <w:sz w:val="18"/>
                <w:szCs w:val="18"/>
              </w:rPr>
              <w:t>非常科学、合理、可行的得5分；</w:t>
            </w:r>
          </w:p>
          <w:p>
            <w:pPr>
              <w:snapToGrid w:val="0"/>
              <w:spacing w:line="0" w:lineRule="atLeast"/>
              <w:rPr>
                <w:rFonts w:ascii="宋体" w:hAnsi="宋体" w:eastAsia="宋体" w:cs="宋体"/>
                <w:sz w:val="18"/>
                <w:szCs w:val="18"/>
              </w:rPr>
            </w:pPr>
            <w:r>
              <w:rPr>
                <w:rFonts w:hint="eastAsia" w:ascii="宋体" w:hAnsi="宋体" w:eastAsia="宋体" w:cs="宋体"/>
                <w:sz w:val="18"/>
                <w:szCs w:val="18"/>
              </w:rPr>
              <w:t>比较合理、可行的得3~4分；</w:t>
            </w:r>
          </w:p>
          <w:p>
            <w:pPr>
              <w:snapToGrid w:val="0"/>
              <w:spacing w:line="0" w:lineRule="atLeast"/>
              <w:rPr>
                <w:rFonts w:ascii="宋体" w:hAnsi="宋体" w:eastAsia="宋体" w:cs="宋体"/>
                <w:sz w:val="18"/>
                <w:szCs w:val="18"/>
              </w:rPr>
            </w:pPr>
            <w:r>
              <w:rPr>
                <w:rFonts w:hint="eastAsia" w:ascii="宋体" w:hAnsi="宋体" w:eastAsia="宋体" w:cs="宋体"/>
                <w:sz w:val="18"/>
                <w:szCs w:val="18"/>
              </w:rPr>
              <w:t>基本合理的得0~2分；</w:t>
            </w:r>
          </w:p>
          <w:p>
            <w:pPr>
              <w:snapToGrid w:val="0"/>
              <w:spacing w:line="0" w:lineRule="atLeast"/>
              <w:rPr>
                <w:rFonts w:ascii="宋体" w:hAnsi="宋体" w:eastAsia="宋体" w:cs="宋体"/>
                <w:sz w:val="18"/>
                <w:szCs w:val="18"/>
              </w:rPr>
            </w:pPr>
            <w:r>
              <w:rPr>
                <w:rFonts w:hint="eastAsia" w:ascii="宋体" w:hAnsi="宋体" w:eastAsia="宋体" w:cs="宋体"/>
                <w:sz w:val="18"/>
                <w:szCs w:val="18"/>
              </w:rPr>
              <w:t>本项最多得6分；缺项或无实质性内容的不得分。</w:t>
            </w:r>
          </w:p>
        </w:tc>
        <w:tc>
          <w:tcPr>
            <w:tcW w:w="632"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Align w:val="center"/>
          </w:tcPr>
          <w:p>
            <w:pPr>
              <w:jc w:val="center"/>
              <w:rPr>
                <w:rFonts w:ascii="宋体" w:hAnsi="宋体" w:eastAsia="宋体" w:cs="宋体"/>
                <w:sz w:val="18"/>
                <w:szCs w:val="18"/>
              </w:rPr>
            </w:pPr>
            <w:r>
              <w:rPr>
                <w:rFonts w:hint="eastAsia" w:ascii="宋体" w:hAnsi="宋体" w:eastAsia="宋体" w:cs="宋体"/>
                <w:sz w:val="18"/>
                <w:szCs w:val="18"/>
              </w:rPr>
              <w:t>3.1.3（3）</w:t>
            </w:r>
          </w:p>
        </w:tc>
        <w:tc>
          <w:tcPr>
            <w:tcW w:w="1489" w:type="dxa"/>
            <w:vAlign w:val="center"/>
          </w:tcPr>
          <w:p>
            <w:pPr>
              <w:jc w:val="center"/>
              <w:rPr>
                <w:rFonts w:ascii="宋体" w:hAnsi="宋体" w:eastAsia="宋体" w:cs="宋体"/>
                <w:sz w:val="18"/>
                <w:szCs w:val="18"/>
              </w:rPr>
            </w:pPr>
            <w:r>
              <w:rPr>
                <w:rFonts w:hint="eastAsia" w:ascii="宋体" w:hAnsi="宋体" w:eastAsia="宋体" w:cs="宋体"/>
                <w:sz w:val="18"/>
                <w:szCs w:val="18"/>
              </w:rPr>
              <w:t>投标报价评分（60%）</w:t>
            </w:r>
          </w:p>
        </w:tc>
        <w:tc>
          <w:tcPr>
            <w:tcW w:w="1992" w:type="dxa"/>
            <w:vAlign w:val="center"/>
          </w:tcPr>
          <w:p>
            <w:pPr>
              <w:jc w:val="center"/>
              <w:rPr>
                <w:rFonts w:ascii="宋体" w:hAnsi="宋体" w:eastAsia="宋体" w:cs="宋体"/>
                <w:sz w:val="18"/>
                <w:szCs w:val="18"/>
              </w:rPr>
            </w:pPr>
            <w:r>
              <w:rPr>
                <w:rFonts w:hint="eastAsia" w:ascii="宋体" w:hAnsi="宋体" w:eastAsia="宋体" w:cs="宋体"/>
                <w:sz w:val="18"/>
                <w:szCs w:val="18"/>
              </w:rPr>
              <w:t>投标报价得分</w:t>
            </w:r>
          </w:p>
        </w:tc>
        <w:tc>
          <w:tcPr>
            <w:tcW w:w="3353" w:type="dxa"/>
          </w:tcPr>
          <w:p>
            <w:pPr>
              <w:rPr>
                <w:rFonts w:ascii="宋体" w:hAnsi="宋体" w:eastAsia="宋体" w:cs="宋体"/>
                <w:sz w:val="18"/>
                <w:szCs w:val="18"/>
              </w:rPr>
            </w:pPr>
            <w:r>
              <w:rPr>
                <w:rFonts w:hint="eastAsia" w:ascii="宋体" w:hAnsi="宋体" w:eastAsia="宋体" w:cs="宋体"/>
                <w:sz w:val="18"/>
                <w:szCs w:val="18"/>
              </w:rPr>
              <w:t>各投标报价偏差率（Di）每增加1%，扣1分（不足1%按直线插入法计算）； 各投标报价偏差率（Di）每减少 1%，扣1分（不足1%按直线插入法计算）</w:t>
            </w:r>
          </w:p>
        </w:tc>
        <w:tc>
          <w:tcPr>
            <w:tcW w:w="632" w:type="dxa"/>
            <w:vAlign w:val="center"/>
          </w:tcPr>
          <w:p>
            <w:pPr>
              <w:jc w:val="center"/>
              <w:rPr>
                <w:rFonts w:ascii="宋体" w:hAnsi="宋体" w:eastAsia="宋体" w:cs="宋体"/>
                <w:sz w:val="18"/>
                <w:szCs w:val="18"/>
              </w:rPr>
            </w:pPr>
            <w:r>
              <w:rPr>
                <w:rFonts w:hint="eastAsia" w:ascii="宋体" w:hAnsi="宋体" w:eastAsia="宋体" w:cs="宋体"/>
                <w:sz w:val="18"/>
                <w:szCs w:val="18"/>
              </w:rPr>
              <w:t>60%</w:t>
            </w:r>
          </w:p>
        </w:tc>
      </w:tr>
    </w:tbl>
    <w:p>
      <w:pPr>
        <w:spacing w:line="360" w:lineRule="auto"/>
        <w:rPr>
          <w:rFonts w:ascii="宋体" w:hAnsi="宋体" w:eastAsia="宋体" w:cs="Arial"/>
          <w:b/>
          <w:sz w:val="28"/>
          <w:szCs w:val="28"/>
        </w:rPr>
        <w:sectPr>
          <w:pgSz w:w="11907" w:h="16840"/>
          <w:pgMar w:top="1440" w:right="1440" w:bottom="1440" w:left="1440" w:header="851" w:footer="992" w:gutter="0"/>
          <w:cols w:space="720" w:num="1"/>
          <w:docGrid w:linePitch="326" w:charSpace="0"/>
        </w:sectPr>
      </w:pPr>
    </w:p>
    <w:p>
      <w:pPr>
        <w:spacing w:line="360" w:lineRule="auto"/>
        <w:rPr>
          <w:rFonts w:eastAsia="宋体" w:cs="Arial"/>
          <w:kern w:val="2"/>
          <w:szCs w:val="21"/>
        </w:rPr>
      </w:pPr>
      <w:bookmarkStart w:id="172" w:name="_Hlk18679592"/>
    </w:p>
    <w:bookmarkEnd w:id="172"/>
    <w:p>
      <w:pPr>
        <w:pStyle w:val="4"/>
        <w:textAlignment w:val="center"/>
        <w:rPr>
          <w:rFonts w:ascii="宋体" w:hAnsi="宋体"/>
        </w:rPr>
      </w:pPr>
      <w:bookmarkStart w:id="173" w:name="_Toc22506"/>
      <w:r>
        <w:rPr>
          <w:rFonts w:ascii="宋体" w:hAnsi="宋体"/>
        </w:rPr>
        <w:t>1</w:t>
      </w:r>
      <w:r>
        <w:rPr>
          <w:rFonts w:hint="eastAsia" w:ascii="宋体" w:hAnsi="宋体"/>
        </w:rPr>
        <w:t>．评标方法</w:t>
      </w:r>
      <w:bookmarkEnd w:id="173"/>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本次评标采用综合评估法。评标委员会对满足招标文件实质性要求的投标文件，按照本章第</w:t>
      </w:r>
      <w:r>
        <w:rPr>
          <w:rFonts w:ascii="宋体" w:hAnsi="宋体" w:eastAsia="宋体"/>
        </w:rPr>
        <w:t>2.2</w:t>
      </w:r>
      <w:r>
        <w:rPr>
          <w:rFonts w:hint="eastAsia" w:ascii="宋体" w:hAnsi="宋体" w:eastAsia="宋体"/>
        </w:rPr>
        <w:t>款规定的评分标准进行打分，并按得分由高到低顺序推荐中标候选人，或根据招标人授权直接确定中标人，但投标报价低于其成本的除外。综合评分相等时，以投标报价低的优先；投标报价也相等的，以技术服务方案得分高的优先；如果技术服务方案得分也相等，按照评标办法前附表的规定确定中标候选人顺序。</w:t>
      </w:r>
    </w:p>
    <w:p>
      <w:pPr>
        <w:pStyle w:val="4"/>
        <w:textAlignment w:val="center"/>
        <w:rPr>
          <w:rFonts w:ascii="宋体" w:hAnsi="宋体"/>
        </w:rPr>
      </w:pPr>
      <w:bookmarkStart w:id="174" w:name="_Toc15603"/>
      <w:r>
        <w:rPr>
          <w:rFonts w:ascii="宋体" w:hAnsi="宋体"/>
        </w:rPr>
        <w:t>2</w:t>
      </w:r>
      <w:r>
        <w:rPr>
          <w:rFonts w:hint="eastAsia" w:ascii="宋体" w:hAnsi="宋体"/>
        </w:rPr>
        <w:t>．评审标准</w:t>
      </w:r>
      <w:bookmarkEnd w:id="174"/>
    </w:p>
    <w:p>
      <w:pPr>
        <w:pStyle w:val="5"/>
        <w:ind w:firstLine="482"/>
        <w:rPr>
          <w:rFonts w:ascii="宋体" w:hAnsi="宋体"/>
        </w:rPr>
      </w:pPr>
      <w:r>
        <w:rPr>
          <w:rFonts w:ascii="宋体" w:hAnsi="宋体"/>
        </w:rPr>
        <w:t>2.1</w:t>
      </w:r>
      <w:r>
        <w:rPr>
          <w:rFonts w:hint="eastAsia" w:ascii="宋体" w:hAnsi="宋体"/>
        </w:rPr>
        <w:t>初步评审标准</w:t>
      </w:r>
    </w:p>
    <w:p>
      <w:pPr>
        <w:topLinePunct/>
        <w:autoSpaceDE/>
        <w:autoSpaceDN/>
        <w:snapToGrid w:val="0"/>
        <w:spacing w:before="1" w:line="100" w:lineRule="exact"/>
        <w:jc w:val="both"/>
        <w:textAlignment w:val="center"/>
        <w:rPr>
          <w:rFonts w:ascii="宋体" w:hAnsi="宋体" w:eastAsia="宋体"/>
          <w:sz w:val="10"/>
          <w:szCs w:val="10"/>
        </w:rPr>
      </w:pP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2.1.1</w:t>
      </w:r>
      <w:r>
        <w:rPr>
          <w:rFonts w:hint="eastAsia" w:ascii="宋体" w:hAnsi="宋体" w:eastAsia="宋体"/>
        </w:rPr>
        <w:t>形式评审标准：见评标办法前附表。</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2.1.2</w:t>
      </w:r>
      <w:r>
        <w:rPr>
          <w:rFonts w:hint="eastAsia" w:ascii="宋体" w:hAnsi="宋体" w:eastAsia="宋体"/>
        </w:rPr>
        <w:t>资格评审标准：见评标办法前附表。</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2.1.3</w:t>
      </w:r>
      <w:r>
        <w:rPr>
          <w:rFonts w:hint="eastAsia" w:ascii="宋体" w:hAnsi="宋体" w:eastAsia="宋体"/>
        </w:rPr>
        <w:t>响应性评审标准：见评标办法前附表。</w:t>
      </w:r>
    </w:p>
    <w:p>
      <w:pPr>
        <w:pStyle w:val="5"/>
        <w:ind w:firstLine="482"/>
        <w:rPr>
          <w:rFonts w:ascii="宋体" w:hAnsi="宋体"/>
        </w:rPr>
      </w:pPr>
      <w:r>
        <w:rPr>
          <w:rFonts w:ascii="宋体" w:hAnsi="宋体"/>
        </w:rPr>
        <w:t>2.2</w:t>
      </w:r>
      <w:r>
        <w:rPr>
          <w:rFonts w:hint="eastAsia" w:ascii="宋体" w:hAnsi="宋体"/>
        </w:rPr>
        <w:t>分值构成与评分标准</w:t>
      </w:r>
    </w:p>
    <w:p>
      <w:pPr>
        <w:topLinePunct/>
        <w:autoSpaceDE/>
        <w:autoSpaceDN/>
        <w:snapToGrid w:val="0"/>
        <w:spacing w:before="3" w:line="100" w:lineRule="exact"/>
        <w:jc w:val="both"/>
        <w:textAlignment w:val="center"/>
        <w:rPr>
          <w:rFonts w:ascii="宋体" w:hAnsi="宋体" w:eastAsia="宋体"/>
          <w:sz w:val="10"/>
          <w:szCs w:val="10"/>
        </w:rPr>
      </w:pP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2.2.1</w:t>
      </w:r>
      <w:r>
        <w:rPr>
          <w:rFonts w:hint="eastAsia" w:ascii="宋体" w:hAnsi="宋体" w:eastAsia="宋体"/>
        </w:rPr>
        <w:t>分值构成</w:t>
      </w:r>
    </w:p>
    <w:p>
      <w:pPr>
        <w:spacing w:line="360" w:lineRule="auto"/>
        <w:ind w:firstLine="480" w:firstLineChars="200"/>
        <w:rPr>
          <w:rFonts w:eastAsia="宋体"/>
        </w:rPr>
      </w:pPr>
      <w:r>
        <w:rPr>
          <w:rFonts w:hAnsi="宋体" w:eastAsia="宋体"/>
        </w:rPr>
        <w:t>（</w:t>
      </w:r>
      <w:r>
        <w:rPr>
          <w:rFonts w:eastAsia="宋体"/>
        </w:rPr>
        <w:t>1</w:t>
      </w:r>
      <w:r>
        <w:rPr>
          <w:rFonts w:hAnsi="宋体" w:eastAsia="宋体"/>
        </w:rPr>
        <w:t>）商务部分：见评标办法前附表；</w:t>
      </w:r>
    </w:p>
    <w:p>
      <w:pPr>
        <w:spacing w:line="360" w:lineRule="auto"/>
        <w:ind w:firstLine="480" w:firstLineChars="200"/>
        <w:rPr>
          <w:rFonts w:eastAsia="宋体"/>
        </w:rPr>
      </w:pPr>
      <w:r>
        <w:rPr>
          <w:rFonts w:hAnsi="宋体" w:eastAsia="宋体"/>
        </w:rPr>
        <w:t>（</w:t>
      </w:r>
      <w:r>
        <w:rPr>
          <w:rFonts w:eastAsia="宋体"/>
        </w:rPr>
        <w:t>2</w:t>
      </w:r>
      <w:r>
        <w:rPr>
          <w:rFonts w:hAnsi="宋体" w:eastAsia="宋体"/>
        </w:rPr>
        <w:t>）技术部分：见评标办法前附表；</w:t>
      </w:r>
    </w:p>
    <w:p>
      <w:pPr>
        <w:spacing w:line="360" w:lineRule="auto"/>
        <w:ind w:firstLine="480" w:firstLineChars="200"/>
        <w:rPr>
          <w:rFonts w:eastAsia="宋体"/>
        </w:rPr>
      </w:pPr>
      <w:r>
        <w:rPr>
          <w:rFonts w:hAnsi="宋体" w:eastAsia="宋体"/>
        </w:rPr>
        <w:t>（</w:t>
      </w:r>
      <w:r>
        <w:rPr>
          <w:rFonts w:eastAsia="宋体"/>
        </w:rPr>
        <w:t>3</w:t>
      </w:r>
      <w:r>
        <w:rPr>
          <w:rFonts w:hAnsi="宋体" w:eastAsia="宋体"/>
        </w:rPr>
        <w:t>）报价部分：见评标办法前附表。</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2.2.2</w:t>
      </w:r>
      <w:r>
        <w:rPr>
          <w:rFonts w:hint="eastAsia" w:ascii="宋体" w:hAnsi="宋体" w:eastAsia="宋体"/>
        </w:rPr>
        <w:t>评标基准价计算评标基准价计算方法：见评标办法前附表。</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2.2.3</w:t>
      </w:r>
      <w:r>
        <w:rPr>
          <w:rFonts w:hint="eastAsia" w:ascii="宋体" w:hAnsi="宋体" w:eastAsia="宋体"/>
        </w:rPr>
        <w:t>投标报价的偏差率计算</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投标报价的偏差率计算公式：见评标办法前附表。</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2.2.4</w:t>
      </w:r>
      <w:r>
        <w:rPr>
          <w:rFonts w:hint="eastAsia" w:ascii="宋体" w:hAnsi="宋体" w:eastAsia="宋体"/>
        </w:rPr>
        <w:t>评分标准</w:t>
      </w:r>
    </w:p>
    <w:p>
      <w:pPr>
        <w:spacing w:line="360" w:lineRule="auto"/>
        <w:ind w:firstLine="480" w:firstLineChars="200"/>
        <w:rPr>
          <w:rFonts w:ascii="宋体" w:hAnsi="宋体" w:eastAsia="宋体"/>
        </w:rPr>
      </w:pPr>
      <w:r>
        <w:rPr>
          <w:rFonts w:ascii="宋体" w:hAnsi="宋体" w:eastAsia="宋体"/>
        </w:rPr>
        <w:t>（1）商务部分评分标准：见评标办法前附表；</w:t>
      </w:r>
    </w:p>
    <w:p>
      <w:pPr>
        <w:spacing w:line="360" w:lineRule="auto"/>
        <w:ind w:firstLine="480" w:firstLineChars="200"/>
        <w:rPr>
          <w:rFonts w:ascii="宋体" w:hAnsi="宋体" w:eastAsia="宋体"/>
        </w:rPr>
      </w:pPr>
      <w:r>
        <w:rPr>
          <w:rFonts w:ascii="宋体" w:hAnsi="宋体" w:eastAsia="宋体"/>
        </w:rPr>
        <w:t>（2）技术部分评分标准：见评标办法前附表；</w:t>
      </w:r>
    </w:p>
    <w:p>
      <w:pPr>
        <w:spacing w:line="360" w:lineRule="auto"/>
        <w:ind w:firstLine="480" w:firstLineChars="200"/>
        <w:rPr>
          <w:rFonts w:ascii="宋体" w:hAnsi="宋体" w:eastAsia="宋体"/>
        </w:rPr>
      </w:pPr>
      <w:r>
        <w:rPr>
          <w:rFonts w:ascii="宋体" w:hAnsi="宋体" w:eastAsia="宋体"/>
        </w:rPr>
        <w:t>（3）报价部分评分标准：见评标办法前附表。</w:t>
      </w:r>
    </w:p>
    <w:p>
      <w:pPr>
        <w:pStyle w:val="4"/>
        <w:textAlignment w:val="center"/>
        <w:rPr>
          <w:rFonts w:ascii="宋体" w:hAnsi="宋体"/>
        </w:rPr>
      </w:pPr>
      <w:bookmarkStart w:id="175" w:name="_Toc6282"/>
      <w:r>
        <w:rPr>
          <w:rFonts w:ascii="宋体" w:hAnsi="宋体"/>
        </w:rPr>
        <w:t>3</w:t>
      </w:r>
      <w:r>
        <w:rPr>
          <w:rFonts w:hint="eastAsia" w:ascii="宋体" w:hAnsi="宋体"/>
        </w:rPr>
        <w:t>．评标程序</w:t>
      </w:r>
      <w:bookmarkEnd w:id="175"/>
    </w:p>
    <w:p>
      <w:pPr>
        <w:pStyle w:val="5"/>
        <w:ind w:firstLine="482"/>
        <w:rPr>
          <w:rFonts w:ascii="宋体" w:hAnsi="宋体"/>
        </w:rPr>
      </w:pPr>
      <w:r>
        <w:rPr>
          <w:rFonts w:ascii="宋体" w:hAnsi="宋体"/>
        </w:rPr>
        <w:t>3.1</w:t>
      </w:r>
      <w:r>
        <w:rPr>
          <w:rFonts w:hint="eastAsia" w:ascii="宋体" w:hAnsi="宋体"/>
        </w:rPr>
        <w:t>初步评审</w:t>
      </w:r>
    </w:p>
    <w:p>
      <w:pPr>
        <w:topLinePunct/>
        <w:autoSpaceDE/>
        <w:autoSpaceDN/>
        <w:snapToGrid w:val="0"/>
        <w:spacing w:before="3" w:line="100" w:lineRule="exact"/>
        <w:jc w:val="both"/>
        <w:textAlignment w:val="center"/>
        <w:rPr>
          <w:rFonts w:ascii="宋体" w:hAnsi="宋体" w:eastAsia="宋体"/>
          <w:sz w:val="10"/>
          <w:szCs w:val="10"/>
        </w:rPr>
      </w:pP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3.1.1</w:t>
      </w:r>
      <w:r>
        <w:rPr>
          <w:rFonts w:hint="eastAsia" w:ascii="宋体" w:hAnsi="宋体" w:eastAsia="宋体"/>
        </w:rPr>
        <w:t>评标委员会可以要求投标人提交第二章</w:t>
      </w:r>
      <w:r>
        <w:rPr>
          <w:rFonts w:ascii="宋体" w:hAnsi="宋体" w:eastAsia="宋体"/>
        </w:rPr>
        <w:t>“</w:t>
      </w:r>
      <w:r>
        <w:rPr>
          <w:rFonts w:hint="eastAsia" w:ascii="宋体" w:hAnsi="宋体" w:eastAsia="宋体"/>
        </w:rPr>
        <w:t>投标人须知</w:t>
      </w:r>
      <w:r>
        <w:rPr>
          <w:rFonts w:ascii="宋体" w:hAnsi="宋体" w:eastAsia="宋体"/>
        </w:rPr>
        <w:t>”</w:t>
      </w:r>
      <w:r>
        <w:rPr>
          <w:rFonts w:hint="eastAsia" w:ascii="宋体" w:hAnsi="宋体" w:eastAsia="宋体"/>
        </w:rPr>
        <w:t>规定的有关证明和证件的原件，以便核验。评标委员会依据本章规定的标准对投标文件进行初步评审。有一项不符合评审标准的，评标委员会应当否决其投标。</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3.1.2</w:t>
      </w:r>
      <w:r>
        <w:rPr>
          <w:rFonts w:hint="eastAsia" w:ascii="宋体" w:hAnsi="宋体" w:eastAsia="宋体"/>
        </w:rPr>
        <w:t>投标人有以下情形之一的，评标委员会应当否决其投标：</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）投标文件没有对招标文件的实质性要求和条件做出响应，或者对招标文件的偏差超出招标文件规定的偏差范围或最高项数；</w:t>
      </w:r>
    </w:p>
    <w:p>
      <w:pPr>
        <w:topLinePunct/>
        <w:autoSpaceDE/>
        <w:autoSpaceDN/>
        <w:snapToGrid w:val="0"/>
        <w:spacing w:line="360" w:lineRule="auto"/>
        <w:ind w:firstLine="480" w:firstLineChars="200"/>
        <w:jc w:val="both"/>
        <w:textAlignment w:val="center"/>
        <w:rPr>
          <w:rFonts w:ascii="宋体" w:hAnsi="宋体" w:eastAsia="宋体"/>
          <w:color w:val="FF0000"/>
        </w:rPr>
      </w:pPr>
      <w:r>
        <w:rPr>
          <w:rFonts w:hint="eastAsia" w:ascii="宋体" w:hAnsi="宋体" w:eastAsia="宋体"/>
        </w:rPr>
        <w:t>（</w:t>
      </w:r>
      <w:r>
        <w:rPr>
          <w:rFonts w:ascii="宋体" w:hAnsi="宋体" w:eastAsia="宋体"/>
        </w:rPr>
        <w:t>2</w:t>
      </w:r>
      <w:r>
        <w:rPr>
          <w:rFonts w:hint="eastAsia" w:ascii="宋体" w:hAnsi="宋体" w:eastAsia="宋体"/>
        </w:rPr>
        <w:t>）有串通投标、弄虚作假、行贿等违法行为。</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3.1.3</w:t>
      </w:r>
      <w:r>
        <w:rPr>
          <w:rFonts w:hint="eastAsia" w:ascii="宋体" w:hAnsi="宋体" w:eastAsia="宋体"/>
        </w:rPr>
        <w:t>投标报价有算术错误及其他错误的，评标委员会按以下原则要求投标人对投标报价进行修正，并要求投标人书面澄清确认。投标人拒不澄清确认的，评标委员会应当否决其投标：</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）投标文件中的大写金额与小写金额不一致的，以大写金额为准；</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）总价金额与单价金额不一致的，以单价金额为准，但单价金额小数点有明显错误的除外。</w:t>
      </w:r>
    </w:p>
    <w:p>
      <w:pPr>
        <w:pStyle w:val="5"/>
        <w:ind w:firstLine="482"/>
        <w:rPr>
          <w:rFonts w:ascii="宋体" w:hAnsi="宋体"/>
        </w:rPr>
      </w:pPr>
      <w:r>
        <w:rPr>
          <w:rFonts w:ascii="宋体" w:hAnsi="宋体"/>
        </w:rPr>
        <w:t>3.2</w:t>
      </w:r>
      <w:r>
        <w:rPr>
          <w:rFonts w:hint="eastAsia" w:ascii="宋体" w:hAnsi="宋体"/>
        </w:rPr>
        <w:t>详细评审</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3.2.1</w:t>
      </w:r>
      <w:r>
        <w:rPr>
          <w:rFonts w:hint="eastAsia" w:ascii="宋体" w:hAnsi="宋体" w:eastAsia="宋体"/>
        </w:rPr>
        <w:t>评标委员会按本章第</w:t>
      </w:r>
      <w:r>
        <w:rPr>
          <w:rFonts w:ascii="宋体" w:hAnsi="宋体" w:eastAsia="宋体"/>
        </w:rPr>
        <w:t>2.2</w:t>
      </w:r>
      <w:r>
        <w:rPr>
          <w:rFonts w:hint="eastAsia" w:ascii="宋体" w:hAnsi="宋体" w:eastAsia="宋体"/>
        </w:rPr>
        <w:t>款规定的量化因素和分值进行打分，并计算出综合评估得分。</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）按本章第</w:t>
      </w:r>
      <w:r>
        <w:rPr>
          <w:rFonts w:ascii="宋体" w:hAnsi="宋体" w:eastAsia="宋体"/>
        </w:rPr>
        <w:t>2.2.4</w:t>
      </w:r>
      <w:r>
        <w:rPr>
          <w:rFonts w:hint="eastAsia" w:ascii="宋体" w:hAnsi="宋体" w:eastAsia="宋体"/>
        </w:rPr>
        <w:t>（</w:t>
      </w:r>
      <w:r>
        <w:rPr>
          <w:rFonts w:ascii="宋体" w:hAnsi="宋体" w:eastAsia="宋体"/>
        </w:rPr>
        <w:t>1</w:t>
      </w:r>
      <w:r>
        <w:rPr>
          <w:rFonts w:hint="eastAsia" w:ascii="宋体" w:hAnsi="宋体" w:eastAsia="宋体"/>
        </w:rPr>
        <w:t>）目规定的评审因素和分值对商务部分计算出得分</w:t>
      </w:r>
      <w:r>
        <w:rPr>
          <w:rFonts w:ascii="宋体" w:hAnsi="宋体" w:eastAsia="宋体"/>
        </w:rPr>
        <w:t>A</w:t>
      </w:r>
      <w:r>
        <w:rPr>
          <w:rFonts w:hint="eastAsia" w:ascii="宋体" w:hAnsi="宋体" w:eastAsia="宋体"/>
        </w:rPr>
        <w:t>；</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）按本章第</w:t>
      </w:r>
      <w:r>
        <w:rPr>
          <w:rFonts w:ascii="宋体" w:hAnsi="宋体" w:eastAsia="宋体"/>
        </w:rPr>
        <w:t>2.2.4</w:t>
      </w:r>
      <w:r>
        <w:rPr>
          <w:rFonts w:hint="eastAsia" w:ascii="宋体" w:hAnsi="宋体" w:eastAsia="宋体"/>
        </w:rPr>
        <w:t>（</w:t>
      </w:r>
      <w:r>
        <w:rPr>
          <w:rFonts w:ascii="宋体" w:hAnsi="宋体" w:eastAsia="宋体"/>
        </w:rPr>
        <w:t>2</w:t>
      </w:r>
      <w:r>
        <w:rPr>
          <w:rFonts w:hint="eastAsia" w:ascii="宋体" w:hAnsi="宋体" w:eastAsia="宋体"/>
        </w:rPr>
        <w:t>）目规定的评审因素和分值对技术部分计算出得分</w:t>
      </w:r>
      <w:r>
        <w:rPr>
          <w:rFonts w:ascii="宋体" w:hAnsi="宋体" w:eastAsia="宋体"/>
        </w:rPr>
        <w:t>B</w:t>
      </w:r>
      <w:r>
        <w:rPr>
          <w:rFonts w:hint="eastAsia" w:ascii="宋体" w:hAnsi="宋体" w:eastAsia="宋体"/>
        </w:rPr>
        <w:t>；</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）按本章第</w:t>
      </w:r>
      <w:r>
        <w:rPr>
          <w:rFonts w:ascii="宋体" w:hAnsi="宋体" w:eastAsia="宋体"/>
        </w:rPr>
        <w:t>2.2.4</w:t>
      </w:r>
      <w:r>
        <w:rPr>
          <w:rFonts w:hint="eastAsia" w:ascii="宋体" w:hAnsi="宋体" w:eastAsia="宋体"/>
        </w:rPr>
        <w:t>（</w:t>
      </w:r>
      <w:r>
        <w:rPr>
          <w:rFonts w:ascii="宋体" w:hAnsi="宋体" w:eastAsia="宋体"/>
        </w:rPr>
        <w:t>3</w:t>
      </w:r>
      <w:r>
        <w:rPr>
          <w:rFonts w:hint="eastAsia" w:ascii="宋体" w:hAnsi="宋体" w:eastAsia="宋体"/>
        </w:rPr>
        <w:t>）目规定的评审因素和分值对投标报价计算出得分</w:t>
      </w:r>
      <w:r>
        <w:rPr>
          <w:rFonts w:ascii="宋体" w:hAnsi="宋体" w:eastAsia="宋体"/>
        </w:rPr>
        <w:t>C</w:t>
      </w:r>
      <w:r>
        <w:rPr>
          <w:rFonts w:hint="eastAsia" w:ascii="宋体" w:hAnsi="宋体" w:eastAsia="宋体"/>
        </w:rPr>
        <w:t>；</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3.2.2</w:t>
      </w:r>
      <w:r>
        <w:rPr>
          <w:rFonts w:hint="eastAsia" w:ascii="宋体" w:hAnsi="宋体" w:eastAsia="宋体"/>
        </w:rPr>
        <w:t>评分分值计算保留小数点后两位，小数点后第三位</w:t>
      </w:r>
      <w:r>
        <w:rPr>
          <w:rFonts w:ascii="宋体" w:hAnsi="宋体" w:eastAsia="宋体"/>
        </w:rPr>
        <w:t>“</w:t>
      </w:r>
      <w:r>
        <w:rPr>
          <w:rFonts w:hint="eastAsia" w:ascii="宋体" w:hAnsi="宋体" w:eastAsia="宋体"/>
        </w:rPr>
        <w:t>四舍五入</w:t>
      </w:r>
      <w:r>
        <w:rPr>
          <w:rFonts w:ascii="宋体" w:hAnsi="宋体" w:eastAsia="宋体"/>
        </w:rPr>
        <w:t>”</w:t>
      </w:r>
      <w:r>
        <w:rPr>
          <w:rFonts w:hint="eastAsia" w:ascii="宋体" w:hAnsi="宋体" w:eastAsia="宋体"/>
        </w:rPr>
        <w:t>。</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3.2.3</w:t>
      </w:r>
      <w:r>
        <w:rPr>
          <w:rFonts w:hint="eastAsia" w:ascii="宋体" w:hAnsi="宋体" w:eastAsia="宋体"/>
        </w:rPr>
        <w:t>投标人得分</w:t>
      </w:r>
      <w:r>
        <w:rPr>
          <w:rFonts w:ascii="宋体" w:hAnsi="宋体" w:eastAsia="宋体"/>
        </w:rPr>
        <w:t>=A+B+C</w:t>
      </w:r>
      <w:r>
        <w:rPr>
          <w:rFonts w:hint="eastAsia" w:ascii="宋体" w:hAnsi="宋体" w:eastAsia="宋体"/>
        </w:rPr>
        <w:t>。</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3.2.4</w:t>
      </w:r>
      <w:r>
        <w:rPr>
          <w:rFonts w:hint="eastAsia" w:ascii="宋体" w:hAnsi="宋体" w:eastAsia="宋体"/>
        </w:rPr>
        <w:t>评标委员会发现投标人的报价明显低于其他投标报价，使得其投标报价可能低于其个别成本的，应当要求该投标人做出书面说明并提供相应的证明材料。投标人不能合理说明或者不能提供相应证明材料的，评标委员会应当认定该投标人以低于成本报价竞标，并否决其投标。</w:t>
      </w:r>
    </w:p>
    <w:p>
      <w:pPr>
        <w:pStyle w:val="5"/>
        <w:ind w:firstLine="482"/>
        <w:rPr>
          <w:rFonts w:ascii="宋体" w:hAnsi="宋体"/>
        </w:rPr>
      </w:pPr>
      <w:r>
        <w:rPr>
          <w:rFonts w:ascii="宋体" w:hAnsi="宋体"/>
        </w:rPr>
        <w:t>3.3</w:t>
      </w:r>
      <w:r>
        <w:rPr>
          <w:rFonts w:hint="eastAsia" w:ascii="宋体" w:hAnsi="宋体"/>
        </w:rPr>
        <w:t>投标文件的澄清</w:t>
      </w:r>
    </w:p>
    <w:p>
      <w:pPr>
        <w:topLinePunct/>
        <w:autoSpaceDE/>
        <w:autoSpaceDN/>
        <w:snapToGrid w:val="0"/>
        <w:spacing w:before="4" w:line="100" w:lineRule="exact"/>
        <w:jc w:val="both"/>
        <w:textAlignment w:val="center"/>
        <w:rPr>
          <w:rFonts w:ascii="宋体" w:hAnsi="宋体" w:eastAsia="宋体"/>
          <w:sz w:val="10"/>
          <w:szCs w:val="10"/>
        </w:rPr>
      </w:pP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3.3.1</w:t>
      </w:r>
      <w:r>
        <w:rPr>
          <w:rFonts w:hint="eastAsia" w:ascii="宋体" w:hAnsi="宋体" w:eastAsia="宋体"/>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3.3.2</w:t>
      </w:r>
      <w:r>
        <w:rPr>
          <w:rFonts w:hint="eastAsia" w:ascii="宋体" w:hAnsi="宋体" w:eastAsia="宋体"/>
        </w:rPr>
        <w:t>澄清、说明或补正不得超出投标文件的范围且不得改变投标文件的实质性内容，并构成投标文件的组成部分。</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3.3.3</w:t>
      </w:r>
      <w:r>
        <w:rPr>
          <w:rFonts w:hint="eastAsia" w:ascii="宋体" w:hAnsi="宋体" w:eastAsia="宋体"/>
        </w:rPr>
        <w:t>评标委员会对投标人提交的澄清、说明或补正有疑问的，可以要求投标人进一步澄清、说明或补正，直至满足评标委员会的要求。</w:t>
      </w:r>
    </w:p>
    <w:p>
      <w:pPr>
        <w:pStyle w:val="5"/>
        <w:ind w:firstLine="482"/>
        <w:rPr>
          <w:rFonts w:ascii="宋体" w:hAnsi="宋体"/>
        </w:rPr>
      </w:pPr>
      <w:r>
        <w:rPr>
          <w:rFonts w:ascii="宋体" w:hAnsi="宋体"/>
        </w:rPr>
        <w:t>3.4</w:t>
      </w:r>
      <w:r>
        <w:rPr>
          <w:rFonts w:hint="eastAsia" w:ascii="宋体" w:hAnsi="宋体"/>
        </w:rPr>
        <w:t>评标结果</w:t>
      </w:r>
    </w:p>
    <w:p>
      <w:pPr>
        <w:topLinePunct/>
        <w:autoSpaceDE/>
        <w:autoSpaceDN/>
        <w:snapToGrid w:val="0"/>
        <w:spacing w:before="4" w:line="100" w:lineRule="exact"/>
        <w:jc w:val="both"/>
        <w:textAlignment w:val="center"/>
        <w:rPr>
          <w:rFonts w:ascii="宋体" w:hAnsi="宋体" w:eastAsia="宋体"/>
          <w:sz w:val="10"/>
          <w:szCs w:val="10"/>
        </w:rPr>
      </w:pP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3.4.1</w:t>
      </w:r>
      <w:r>
        <w:rPr>
          <w:rFonts w:hint="eastAsia" w:ascii="宋体" w:hAnsi="宋体" w:eastAsia="宋体"/>
        </w:rPr>
        <w:t>除第二章</w:t>
      </w:r>
      <w:r>
        <w:rPr>
          <w:rFonts w:ascii="宋体" w:hAnsi="宋体" w:eastAsia="宋体"/>
        </w:rPr>
        <w:t>“</w:t>
      </w:r>
      <w:r>
        <w:rPr>
          <w:rFonts w:hint="eastAsia" w:ascii="宋体" w:hAnsi="宋体" w:eastAsia="宋体"/>
        </w:rPr>
        <w:t>投标人须知</w:t>
      </w:r>
      <w:r>
        <w:rPr>
          <w:rFonts w:ascii="宋体" w:hAnsi="宋体" w:eastAsia="宋体"/>
        </w:rPr>
        <w:t>”</w:t>
      </w:r>
      <w:r>
        <w:rPr>
          <w:rFonts w:hint="eastAsia" w:ascii="宋体" w:hAnsi="宋体" w:eastAsia="宋体"/>
        </w:rPr>
        <w:t>前附表授权直接确定中标人外，评标委员会按照得分由高到低的顺序推荐中标候选人，并标明排序。</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3.4.2</w:t>
      </w:r>
      <w:r>
        <w:rPr>
          <w:rFonts w:hint="eastAsia" w:ascii="宋体" w:hAnsi="宋体" w:eastAsia="宋体"/>
        </w:rPr>
        <w:t>评标委员会完成评标后，应当向招标人提交书面评标报告和中标候选人名单。</w:t>
      </w:r>
    </w:p>
    <w:p>
      <w:pPr>
        <w:topLinePunct/>
        <w:autoSpaceDE/>
        <w:autoSpaceDN/>
        <w:snapToGrid w:val="0"/>
        <w:spacing w:line="360" w:lineRule="auto"/>
        <w:ind w:firstLine="480" w:firstLineChars="200"/>
        <w:jc w:val="both"/>
        <w:textAlignment w:val="center"/>
        <w:rPr>
          <w:rFonts w:ascii="宋体" w:hAnsi="宋体" w:eastAsia="宋体"/>
        </w:rPr>
      </w:pPr>
    </w:p>
    <w:p>
      <w:pPr>
        <w:pStyle w:val="3"/>
        <w:topLinePunct/>
        <w:autoSpaceDE/>
        <w:autoSpaceDN/>
        <w:textAlignment w:val="center"/>
        <w:rPr>
          <w:rFonts w:ascii="宋体" w:hAnsi="宋体" w:eastAsia="宋体"/>
        </w:rPr>
        <w:sectPr>
          <w:pgSz w:w="11907" w:h="16840"/>
          <w:pgMar w:top="1440" w:right="1440" w:bottom="1440" w:left="1440" w:header="851" w:footer="992" w:gutter="0"/>
          <w:cols w:space="720" w:num="1"/>
          <w:docGrid w:linePitch="326" w:charSpace="0"/>
        </w:sectPr>
      </w:pPr>
    </w:p>
    <w:p/>
    <w:p/>
    <w:p>
      <w:pPr>
        <w:pStyle w:val="3"/>
        <w:topLinePunct/>
        <w:autoSpaceDE/>
        <w:autoSpaceDN/>
        <w:textAlignment w:val="center"/>
        <w:rPr>
          <w:rFonts w:ascii="宋体" w:hAnsi="宋体" w:eastAsia="宋体"/>
        </w:rPr>
      </w:pPr>
      <w:bookmarkStart w:id="176" w:name="_Toc5666"/>
      <w:r>
        <w:rPr>
          <w:rFonts w:hint="eastAsia" w:ascii="宋体" w:hAnsi="宋体" w:eastAsia="宋体"/>
        </w:rPr>
        <w:t>第四章  合同条款及格式</w:t>
      </w:r>
      <w:bookmarkEnd w:id="176"/>
    </w:p>
    <w:p>
      <w:pPr>
        <w:tabs>
          <w:tab w:val="left" w:pos="1919"/>
        </w:tabs>
        <w:spacing w:before="1"/>
        <w:ind w:right="12"/>
        <w:jc w:val="center"/>
        <w:rPr>
          <w:rFonts w:eastAsia="黑体"/>
          <w:b/>
          <w:sz w:val="48"/>
          <w:szCs w:val="40"/>
        </w:rPr>
      </w:pPr>
    </w:p>
    <w:p/>
    <w:p/>
    <w:p/>
    <w:p/>
    <w:p/>
    <w:p>
      <w:pPr>
        <w:autoSpaceDE/>
        <w:autoSpaceDN/>
        <w:adjustRightInd/>
        <w:ind w:right="-874" w:rightChars="-364"/>
        <w:jc w:val="center"/>
        <w:rPr>
          <w:rFonts w:ascii="宋体" w:hAnsi="宋体" w:eastAsia="宋体" w:cs="宋体"/>
          <w:b/>
          <w:bCs/>
          <w:kern w:val="2"/>
          <w:sz w:val="52"/>
          <w:szCs w:val="52"/>
        </w:rPr>
      </w:pPr>
      <w:r>
        <w:rPr>
          <w:rFonts w:hint="eastAsia" w:ascii="宋体" w:hAnsi="宋体" w:eastAsia="宋体" w:cs="宋体"/>
          <w:b/>
          <w:bCs/>
          <w:kern w:val="2"/>
          <w:sz w:val="52"/>
          <w:szCs w:val="52"/>
        </w:rPr>
        <w:t>金沙江金沙水电站竣工环境保护验收</w:t>
      </w:r>
    </w:p>
    <w:p>
      <w:pPr>
        <w:autoSpaceDE/>
        <w:autoSpaceDN/>
        <w:adjustRightInd/>
        <w:ind w:right="-874" w:rightChars="-364"/>
        <w:jc w:val="center"/>
        <w:rPr>
          <w:rFonts w:ascii="宋体" w:hAnsi="宋体" w:eastAsia="宋体" w:cs="宋体"/>
          <w:b/>
          <w:bCs/>
          <w:sz w:val="52"/>
          <w:szCs w:val="52"/>
        </w:rPr>
      </w:pPr>
      <w:r>
        <w:rPr>
          <w:rFonts w:hint="eastAsia" w:ascii="宋体" w:hAnsi="宋体" w:eastAsia="宋体" w:cs="宋体"/>
          <w:b/>
          <w:bCs/>
          <w:kern w:val="2"/>
          <w:sz w:val="52"/>
          <w:szCs w:val="52"/>
        </w:rPr>
        <w:t>及陆生生态调查技术服务合同</w:t>
      </w:r>
    </w:p>
    <w:p>
      <w:pPr>
        <w:pStyle w:val="2"/>
        <w:tabs>
          <w:tab w:val="left" w:pos="0"/>
        </w:tabs>
        <w:spacing w:before="7"/>
        <w:rPr>
          <w:rFonts w:ascii="宋体" w:hAnsi="宋体" w:eastAsia="宋体" w:cs="宋体"/>
          <w:sz w:val="98"/>
        </w:rPr>
      </w:pPr>
    </w:p>
    <w:p>
      <w:pPr>
        <w:pStyle w:val="5"/>
        <w:spacing w:before="1" w:line="240" w:lineRule="auto"/>
        <w:ind w:left="2855" w:firstLine="602"/>
        <w:jc w:val="left"/>
        <w:rPr>
          <w:rFonts w:ascii="宋体" w:hAnsi="宋体" w:cs="宋体"/>
        </w:rPr>
      </w:pPr>
      <w:r>
        <w:rPr>
          <w:rFonts w:hint="eastAsia" w:ascii="宋体" w:hAnsi="宋体" w:cs="宋体"/>
          <w:sz w:val="30"/>
          <w:szCs w:val="30"/>
        </w:rPr>
        <w:t>合同编号：PZH-JS-QT-247</w:t>
      </w:r>
    </w:p>
    <w:p>
      <w:pPr>
        <w:pStyle w:val="2"/>
        <w:tabs>
          <w:tab w:val="left" w:pos="0"/>
        </w:tabs>
        <w:rPr>
          <w:rFonts w:ascii="宋体" w:hAnsi="宋体" w:eastAsia="宋体" w:cs="宋体"/>
          <w:sz w:val="40"/>
        </w:rPr>
      </w:pPr>
    </w:p>
    <w:p>
      <w:pPr>
        <w:pStyle w:val="2"/>
        <w:tabs>
          <w:tab w:val="left" w:pos="0"/>
        </w:tabs>
        <w:rPr>
          <w:rFonts w:ascii="宋体" w:hAnsi="宋体" w:eastAsia="宋体" w:cs="宋体"/>
          <w:sz w:val="40"/>
        </w:rPr>
      </w:pPr>
    </w:p>
    <w:p>
      <w:pPr>
        <w:pStyle w:val="2"/>
        <w:tabs>
          <w:tab w:val="left" w:pos="0"/>
        </w:tabs>
        <w:rPr>
          <w:rFonts w:ascii="宋体" w:hAnsi="宋体" w:eastAsia="宋体" w:cs="宋体"/>
          <w:sz w:val="40"/>
        </w:rPr>
      </w:pPr>
    </w:p>
    <w:p>
      <w:pPr>
        <w:pStyle w:val="2"/>
        <w:tabs>
          <w:tab w:val="left" w:pos="0"/>
        </w:tabs>
        <w:rPr>
          <w:rFonts w:ascii="宋体" w:hAnsi="宋体" w:eastAsia="宋体" w:cs="宋体"/>
          <w:sz w:val="40"/>
        </w:rPr>
      </w:pPr>
    </w:p>
    <w:p>
      <w:pPr>
        <w:pStyle w:val="2"/>
        <w:tabs>
          <w:tab w:val="left" w:pos="0"/>
        </w:tabs>
        <w:spacing w:before="2"/>
        <w:rPr>
          <w:rFonts w:ascii="宋体" w:hAnsi="宋体" w:eastAsia="宋体" w:cs="宋体"/>
          <w:sz w:val="33"/>
        </w:rPr>
      </w:pPr>
    </w:p>
    <w:p>
      <w:pPr>
        <w:pStyle w:val="6"/>
        <w:spacing w:line="355" w:lineRule="auto"/>
        <w:ind w:left="1437" w:right="1942" w:hanging="9"/>
        <w:jc w:val="left"/>
        <w:rPr>
          <w:rFonts w:ascii="宋体" w:hAnsi="宋体" w:cs="宋体"/>
          <w:w w:val="99"/>
        </w:rPr>
      </w:pPr>
      <w:r>
        <w:rPr>
          <w:rFonts w:hint="eastAsia" w:ascii="宋体" w:hAnsi="宋体" w:cs="宋体"/>
          <w:w w:val="99"/>
        </w:rPr>
        <w:t>甲方：四川省能投攀枝花水电开发有限公司</w:t>
      </w:r>
    </w:p>
    <w:p>
      <w:pPr>
        <w:pStyle w:val="6"/>
        <w:spacing w:line="355" w:lineRule="auto"/>
        <w:ind w:left="1437" w:right="3419" w:hanging="9"/>
        <w:jc w:val="left"/>
        <w:rPr>
          <w:rFonts w:ascii="宋体" w:hAnsi="宋体" w:cs="宋体"/>
        </w:rPr>
      </w:pPr>
      <w:r>
        <w:rPr>
          <w:rFonts w:hint="eastAsia" w:ascii="宋体" w:hAnsi="宋体" w:cs="宋体"/>
          <w:spacing w:val="1"/>
          <w:w w:val="99"/>
        </w:rPr>
        <w:t>乙方：</w:t>
      </w:r>
    </w:p>
    <w:p>
      <w:pPr>
        <w:pStyle w:val="2"/>
        <w:tabs>
          <w:tab w:val="left" w:pos="0"/>
        </w:tabs>
        <w:spacing w:before="8"/>
        <w:rPr>
          <w:rFonts w:ascii="宋体" w:hAnsi="宋体" w:eastAsia="宋体" w:cs="宋体"/>
          <w:b/>
          <w:sz w:val="46"/>
        </w:rPr>
      </w:pPr>
    </w:p>
    <w:p>
      <w:pPr>
        <w:tabs>
          <w:tab w:val="left" w:pos="1919"/>
        </w:tabs>
        <w:spacing w:before="1"/>
        <w:ind w:right="12"/>
        <w:jc w:val="center"/>
        <w:rPr>
          <w:rFonts w:ascii="宋体" w:hAnsi="宋体" w:eastAsia="宋体" w:cs="宋体"/>
          <w:b/>
          <w:bCs/>
          <w:sz w:val="28"/>
          <w:szCs w:val="28"/>
        </w:rPr>
      </w:pP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年  月</w:t>
      </w:r>
    </w:p>
    <w:p>
      <w:pPr>
        <w:jc w:val="center"/>
        <w:rPr>
          <w:rFonts w:ascii="宋体" w:hAnsi="宋体" w:eastAsia="宋体" w:cs="宋体"/>
          <w:b/>
          <w:bCs/>
          <w:sz w:val="28"/>
          <w:szCs w:val="28"/>
        </w:rPr>
        <w:sectPr>
          <w:pgSz w:w="11906" w:h="16838"/>
          <w:pgMar w:top="1134" w:right="1134" w:bottom="1134" w:left="1247" w:header="850" w:footer="992" w:gutter="0"/>
          <w:cols w:space="720" w:num="1"/>
        </w:sectPr>
      </w:pPr>
    </w:p>
    <w:p>
      <w:pPr>
        <w:spacing w:line="360" w:lineRule="auto"/>
        <w:jc w:val="center"/>
        <w:rPr>
          <w:rFonts w:ascii="宋体" w:hAnsi="宋体"/>
          <w:b/>
          <w:sz w:val="32"/>
          <w:szCs w:val="32"/>
        </w:rPr>
      </w:pPr>
      <w:r>
        <w:rPr>
          <w:rFonts w:hint="eastAsia" w:ascii="宋体" w:hAnsi="宋体" w:eastAsia="宋体"/>
          <w:b/>
          <w:sz w:val="32"/>
          <w:szCs w:val="32"/>
        </w:rPr>
        <w:t>金沙水电站竣工环境保护验收及陆生生态调查技术服务</w:t>
      </w:r>
    </w:p>
    <w:p>
      <w:pPr>
        <w:spacing w:line="360" w:lineRule="auto"/>
        <w:jc w:val="center"/>
        <w:rPr>
          <w:rFonts w:ascii="宋体" w:hAnsi="宋体"/>
          <w:b/>
          <w:sz w:val="32"/>
          <w:szCs w:val="32"/>
        </w:rPr>
      </w:pPr>
      <w:r>
        <w:rPr>
          <w:rFonts w:hint="eastAsia" w:ascii="宋体" w:hAnsi="宋体" w:eastAsia="宋体"/>
          <w:b/>
          <w:sz w:val="32"/>
          <w:szCs w:val="32"/>
        </w:rPr>
        <w:t>合同书</w:t>
      </w:r>
    </w:p>
    <w:p>
      <w:pPr>
        <w:pStyle w:val="2"/>
        <w:tabs>
          <w:tab w:val="left" w:pos="0"/>
          <w:tab w:val="left" w:pos="3544"/>
          <w:tab w:val="left" w:pos="3686"/>
        </w:tabs>
        <w:spacing w:line="360" w:lineRule="auto"/>
        <w:ind w:left="0" w:firstLine="480" w:firstLineChars="200"/>
        <w:jc w:val="both"/>
        <w:rPr>
          <w:rFonts w:ascii="Times New Roman" w:hAnsi="宋体" w:eastAsia="宋体" w:cs="Times New Roman"/>
          <w:sz w:val="24"/>
          <w:szCs w:val="24"/>
        </w:rPr>
      </w:pPr>
    </w:p>
    <w:p>
      <w:pPr>
        <w:pStyle w:val="2"/>
        <w:tabs>
          <w:tab w:val="left" w:pos="0"/>
          <w:tab w:val="left" w:pos="3544"/>
          <w:tab w:val="left" w:pos="3686"/>
        </w:tabs>
        <w:spacing w:line="360" w:lineRule="auto"/>
        <w:ind w:left="0" w:firstLine="480" w:firstLineChars="200"/>
        <w:jc w:val="both"/>
        <w:rPr>
          <w:rFonts w:ascii="Times New Roman" w:eastAsia="宋体" w:cs="Times New Roman"/>
          <w:sz w:val="24"/>
          <w:szCs w:val="24"/>
          <w:u w:val="single"/>
        </w:rPr>
      </w:pPr>
      <w:r>
        <w:rPr>
          <w:rFonts w:hint="eastAsia" w:ascii="Times New Roman" w:hAnsi="宋体" w:eastAsia="宋体" w:cs="Times New Roman"/>
          <w:sz w:val="24"/>
          <w:szCs w:val="24"/>
        </w:rPr>
        <w:t>甲方</w:t>
      </w:r>
      <w:r>
        <w:rPr>
          <w:rFonts w:ascii="Times New Roman" w:hAnsi="宋体" w:eastAsia="宋体" w:cs="Times New Roman"/>
          <w:sz w:val="24"/>
          <w:szCs w:val="24"/>
        </w:rPr>
        <w:t>：</w:t>
      </w:r>
      <w:r>
        <w:rPr>
          <w:rFonts w:ascii="Times New Roman" w:hAnsi="宋体" w:eastAsia="宋体" w:cs="Times New Roman"/>
          <w:sz w:val="24"/>
          <w:szCs w:val="24"/>
          <w:u w:val="single"/>
        </w:rPr>
        <w:t>四川省能投攀枝花水电开发有限公司</w:t>
      </w:r>
    </w:p>
    <w:p>
      <w:pPr>
        <w:pStyle w:val="2"/>
        <w:tabs>
          <w:tab w:val="left" w:pos="0"/>
          <w:tab w:val="left" w:pos="4980"/>
        </w:tabs>
        <w:spacing w:line="360" w:lineRule="auto"/>
        <w:ind w:left="0" w:firstLine="480" w:firstLineChars="200"/>
        <w:jc w:val="both"/>
        <w:rPr>
          <w:rFonts w:ascii="Times New Roman" w:eastAsia="宋体" w:cs="Times New Roman"/>
          <w:sz w:val="24"/>
          <w:szCs w:val="24"/>
        </w:rPr>
      </w:pPr>
      <w:r>
        <w:rPr>
          <w:rFonts w:hint="eastAsia" w:ascii="Times New Roman" w:hAnsi="宋体" w:eastAsia="宋体" w:cs="Times New Roman"/>
          <w:sz w:val="24"/>
          <w:szCs w:val="24"/>
        </w:rPr>
        <w:t>乙方</w:t>
      </w:r>
      <w:r>
        <w:rPr>
          <w:rFonts w:ascii="Times New Roman" w:hAnsi="宋体" w:eastAsia="宋体" w:cs="Times New Roman"/>
          <w:sz w:val="24"/>
          <w:szCs w:val="24"/>
        </w:rPr>
        <w:t>：</w:t>
      </w:r>
      <w:r>
        <w:rPr>
          <w:rFonts w:ascii="Times New Roman" w:eastAsia="宋体" w:cs="Times New Roman"/>
          <w:sz w:val="24"/>
          <w:szCs w:val="24"/>
          <w:u w:val="single"/>
        </w:rPr>
        <w:tab/>
      </w:r>
    </w:p>
    <w:p>
      <w:pPr>
        <w:pStyle w:val="2"/>
        <w:tabs>
          <w:tab w:val="left" w:pos="0"/>
        </w:tabs>
        <w:spacing w:line="360" w:lineRule="auto"/>
        <w:ind w:left="0" w:firstLine="480" w:firstLineChars="200"/>
        <w:jc w:val="both"/>
        <w:rPr>
          <w:rFonts w:ascii="Times New Roman" w:eastAsia="宋体" w:cs="Times New Roman"/>
          <w:sz w:val="24"/>
          <w:szCs w:val="24"/>
        </w:rPr>
      </w:pPr>
      <w:r>
        <w:rPr>
          <w:rFonts w:ascii="Times New Roman" w:hAnsi="宋体" w:eastAsia="宋体" w:cs="Times New Roman"/>
          <w:sz w:val="24"/>
          <w:szCs w:val="24"/>
        </w:rPr>
        <w:t>依</w:t>
      </w:r>
      <w:r>
        <w:rPr>
          <w:rFonts w:ascii="Times New Roman" w:hAnsi="宋体" w:eastAsia="宋体" w:cs="Times New Roman"/>
          <w:spacing w:val="-4"/>
          <w:sz w:val="24"/>
          <w:szCs w:val="24"/>
        </w:rPr>
        <w:t>据</w:t>
      </w:r>
      <w:r>
        <w:rPr>
          <w:rFonts w:ascii="Times New Roman" w:hAnsi="宋体" w:eastAsia="宋体" w:cs="Times New Roman"/>
          <w:sz w:val="24"/>
          <w:szCs w:val="24"/>
        </w:rPr>
        <w:t>《中华人民共和国</w:t>
      </w:r>
      <w:r>
        <w:rPr>
          <w:rFonts w:hint="eastAsia" w:ascii="Times New Roman" w:hAnsi="宋体" w:eastAsia="宋体" w:cs="Times New Roman"/>
          <w:sz w:val="24"/>
          <w:szCs w:val="24"/>
        </w:rPr>
        <w:t>民法典</w:t>
      </w:r>
      <w:r>
        <w:rPr>
          <w:rFonts w:ascii="Times New Roman" w:hAnsi="宋体" w:eastAsia="宋体" w:cs="Times New Roman"/>
          <w:spacing w:val="-105"/>
          <w:sz w:val="24"/>
          <w:szCs w:val="24"/>
        </w:rPr>
        <w:t>》</w:t>
      </w:r>
      <w:r>
        <w:rPr>
          <w:rFonts w:ascii="Times New Roman" w:hAnsi="宋体" w:eastAsia="宋体" w:cs="Times New Roman"/>
          <w:sz w:val="24"/>
          <w:szCs w:val="24"/>
        </w:rPr>
        <w:t>及其他有关法律</w:t>
      </w:r>
      <w:r>
        <w:rPr>
          <w:rFonts w:ascii="Times New Roman" w:hAnsi="宋体" w:eastAsia="宋体" w:cs="Times New Roman"/>
          <w:spacing w:val="-4"/>
          <w:sz w:val="24"/>
          <w:szCs w:val="24"/>
        </w:rPr>
        <w:t>、</w:t>
      </w:r>
      <w:r>
        <w:rPr>
          <w:rFonts w:ascii="Times New Roman" w:hAnsi="宋体" w:eastAsia="宋体" w:cs="Times New Roman"/>
          <w:sz w:val="24"/>
          <w:szCs w:val="24"/>
        </w:rPr>
        <w:t>行政法规</w:t>
      </w:r>
      <w:r>
        <w:rPr>
          <w:rFonts w:ascii="Times New Roman" w:hAnsi="宋体" w:eastAsia="宋体" w:cs="Times New Roman"/>
          <w:spacing w:val="-4"/>
          <w:sz w:val="24"/>
          <w:szCs w:val="24"/>
        </w:rPr>
        <w:t>，</w:t>
      </w:r>
      <w:r>
        <w:rPr>
          <w:rFonts w:ascii="Times New Roman" w:hAnsi="宋体" w:eastAsia="宋体" w:cs="Times New Roman"/>
          <w:spacing w:val="1"/>
          <w:sz w:val="24"/>
          <w:szCs w:val="24"/>
        </w:rPr>
        <w:t>遵</w:t>
      </w:r>
      <w:r>
        <w:rPr>
          <w:rFonts w:ascii="Times New Roman" w:hAnsi="宋体" w:eastAsia="宋体" w:cs="Times New Roman"/>
          <w:sz w:val="24"/>
          <w:szCs w:val="24"/>
        </w:rPr>
        <w:t>循平等</w:t>
      </w:r>
      <w:r>
        <w:rPr>
          <w:rFonts w:ascii="Times New Roman" w:hAnsi="宋体" w:eastAsia="宋体" w:cs="Times New Roman"/>
          <w:spacing w:val="-5"/>
          <w:sz w:val="24"/>
          <w:szCs w:val="24"/>
        </w:rPr>
        <w:t>、</w:t>
      </w:r>
      <w:r>
        <w:rPr>
          <w:rFonts w:ascii="Times New Roman" w:hAnsi="宋体" w:eastAsia="宋体" w:cs="Times New Roman"/>
          <w:sz w:val="24"/>
          <w:szCs w:val="24"/>
        </w:rPr>
        <w:t>自愿</w:t>
      </w:r>
      <w:r>
        <w:rPr>
          <w:rFonts w:ascii="Times New Roman" w:hAnsi="宋体" w:eastAsia="宋体" w:cs="Times New Roman"/>
          <w:spacing w:val="-5"/>
          <w:sz w:val="24"/>
          <w:szCs w:val="24"/>
        </w:rPr>
        <w:t>、</w:t>
      </w:r>
      <w:r>
        <w:rPr>
          <w:rFonts w:ascii="Times New Roman" w:hAnsi="宋体" w:eastAsia="宋体" w:cs="Times New Roman"/>
          <w:sz w:val="24"/>
          <w:szCs w:val="24"/>
        </w:rPr>
        <w:t>公平和诚实信用的原则</w:t>
      </w:r>
      <w:r>
        <w:rPr>
          <w:rFonts w:ascii="Times New Roman" w:hAnsi="宋体" w:eastAsia="宋体" w:cs="Times New Roman"/>
          <w:spacing w:val="-5"/>
          <w:sz w:val="24"/>
          <w:szCs w:val="24"/>
        </w:rPr>
        <w:t>，</w:t>
      </w:r>
      <w:r>
        <w:rPr>
          <w:rFonts w:hint="eastAsia" w:ascii="Times New Roman" w:hAnsi="宋体" w:eastAsia="宋体" w:cs="Times New Roman"/>
          <w:spacing w:val="-5"/>
          <w:sz w:val="24"/>
          <w:szCs w:val="24"/>
          <w:lang w:eastAsia="zh-CN"/>
        </w:rPr>
        <w:t>甲方（本协议所称“发包人”、“甲方”、“委托人”均指“</w:t>
      </w:r>
      <w:r>
        <w:rPr>
          <w:rFonts w:ascii="Times New Roman" w:hAnsi="宋体" w:eastAsia="宋体" w:cs="Times New Roman"/>
          <w:sz w:val="24"/>
          <w:szCs w:val="24"/>
          <w:u w:val="single"/>
        </w:rPr>
        <w:t>四川省能投攀枝花水电开发有限公司</w:t>
      </w:r>
      <w:r>
        <w:rPr>
          <w:rFonts w:hint="eastAsia" w:ascii="Times New Roman" w:hAnsi="宋体" w:eastAsia="宋体" w:cs="Times New Roman"/>
          <w:spacing w:val="-5"/>
          <w:sz w:val="24"/>
          <w:szCs w:val="24"/>
          <w:lang w:eastAsia="zh-CN"/>
        </w:rPr>
        <w:t>”）</w:t>
      </w:r>
      <w:r>
        <w:rPr>
          <w:rFonts w:ascii="Times New Roman" w:hAnsi="宋体" w:eastAsia="宋体" w:cs="Times New Roman"/>
          <w:sz w:val="24"/>
          <w:szCs w:val="24"/>
        </w:rPr>
        <w:t>委托</w:t>
      </w:r>
      <w:r>
        <w:rPr>
          <w:rFonts w:hint="eastAsia" w:ascii="Times New Roman" w:hAnsi="宋体" w:eastAsia="宋体" w:cs="Times New Roman"/>
          <w:sz w:val="24"/>
          <w:szCs w:val="24"/>
          <w:lang w:val="en-US" w:eastAsia="zh-CN"/>
        </w:rPr>
        <w:t>乙方</w:t>
      </w:r>
      <w:r>
        <w:rPr>
          <w:rFonts w:hint="eastAsia" w:ascii="Times New Roman" w:hAnsi="宋体" w:eastAsia="宋体" w:cs="Times New Roman"/>
          <w:spacing w:val="-5"/>
          <w:sz w:val="24"/>
          <w:szCs w:val="24"/>
          <w:lang w:eastAsia="zh-CN"/>
        </w:rPr>
        <w:t>（本协议所称“承包人”、“乙方”均指“</w:t>
      </w:r>
      <w:r>
        <w:rPr>
          <w:rFonts w:hint="eastAsia" w:ascii="Times New Roman" w:hAnsi="宋体" w:eastAsia="宋体" w:cs="Times New Roman"/>
          <w:sz w:val="24"/>
          <w:szCs w:val="24"/>
          <w:u w:val="none"/>
          <w:lang w:eastAsia="zh-CN"/>
        </w:rPr>
        <w:t xml:space="preserve"> </w:t>
      </w:r>
      <w:r>
        <w:rPr>
          <w:rFonts w:hint="eastAsia" w:ascii="Times New Roman" w:hAnsi="宋体" w:eastAsia="宋体" w:cs="Times New Roman"/>
          <w:sz w:val="24"/>
          <w:szCs w:val="24"/>
          <w:u w:val="none"/>
          <w:lang w:val="en-US" w:eastAsia="zh-CN"/>
        </w:rPr>
        <w:t xml:space="preserve">                       </w:t>
      </w:r>
      <w:r>
        <w:rPr>
          <w:rFonts w:hint="eastAsia" w:ascii="Times New Roman" w:hAnsi="宋体" w:eastAsia="宋体" w:cs="Times New Roman"/>
          <w:spacing w:val="-5"/>
          <w:sz w:val="24"/>
          <w:szCs w:val="24"/>
          <w:lang w:eastAsia="zh-CN"/>
        </w:rPr>
        <w:t>”）</w:t>
      </w:r>
      <w:r>
        <w:rPr>
          <w:rFonts w:ascii="Times New Roman" w:hAnsi="宋体" w:eastAsia="宋体" w:cs="Times New Roman"/>
          <w:sz w:val="24"/>
          <w:szCs w:val="24"/>
        </w:rPr>
        <w:t>承担</w:t>
      </w:r>
      <w:r>
        <w:rPr>
          <w:rFonts w:ascii="Times New Roman" w:hAnsi="宋体" w:eastAsia="宋体" w:cs="Times New Roman"/>
          <w:sz w:val="24"/>
          <w:szCs w:val="24"/>
          <w:u w:val="single"/>
        </w:rPr>
        <w:t>金沙水电站竣工环境保护验收</w:t>
      </w:r>
      <w:r>
        <w:rPr>
          <w:rFonts w:hint="eastAsia" w:ascii="Times New Roman" w:hAnsi="宋体" w:eastAsia="宋体" w:cs="Times New Roman"/>
          <w:sz w:val="24"/>
          <w:szCs w:val="24"/>
          <w:u w:val="single"/>
        </w:rPr>
        <w:t>及陆生生态调查技术</w:t>
      </w:r>
      <w:r>
        <w:rPr>
          <w:rFonts w:ascii="Times New Roman" w:hAnsi="宋体" w:eastAsia="宋体" w:cs="Times New Roman"/>
          <w:sz w:val="24"/>
          <w:szCs w:val="24"/>
          <w:u w:val="single"/>
        </w:rPr>
        <w:t>服务</w:t>
      </w:r>
      <w:r>
        <w:rPr>
          <w:rFonts w:ascii="Times New Roman" w:hAnsi="宋体" w:eastAsia="宋体" w:cs="Times New Roman"/>
          <w:sz w:val="24"/>
          <w:szCs w:val="24"/>
        </w:rPr>
        <w:t>工作</w:t>
      </w:r>
      <w:r>
        <w:rPr>
          <w:rFonts w:ascii="Times New Roman" w:hAnsi="宋体" w:eastAsia="宋体" w:cs="Times New Roman"/>
          <w:spacing w:val="-4"/>
          <w:sz w:val="24"/>
          <w:szCs w:val="24"/>
        </w:rPr>
        <w:t>。</w:t>
      </w:r>
      <w:r>
        <w:rPr>
          <w:rFonts w:ascii="Times New Roman" w:hAnsi="宋体" w:eastAsia="宋体" w:cs="Times New Roman"/>
          <w:sz w:val="24"/>
          <w:szCs w:val="24"/>
        </w:rPr>
        <w:t>经双方协商同意签订本合同</w:t>
      </w:r>
      <w:r>
        <w:rPr>
          <w:rFonts w:ascii="Times New Roman" w:hAnsi="宋体" w:eastAsia="宋体" w:cs="Times New Roman"/>
          <w:spacing w:val="-4"/>
          <w:sz w:val="24"/>
          <w:szCs w:val="24"/>
        </w:rPr>
        <w:t>，</w:t>
      </w:r>
      <w:r>
        <w:rPr>
          <w:rFonts w:ascii="Times New Roman" w:hAnsi="宋体" w:eastAsia="宋体" w:cs="Times New Roman"/>
          <w:sz w:val="24"/>
          <w:szCs w:val="24"/>
        </w:rPr>
        <w:t>以明确各方的责任和义务，并共同遵守。</w:t>
      </w:r>
    </w:p>
    <w:p>
      <w:pPr>
        <w:pStyle w:val="7"/>
        <w:spacing w:before="40" w:after="40"/>
        <w:rPr>
          <w:rFonts w:ascii="Times New Roman" w:hAnsi="Times New Roman"/>
          <w:b w:val="0"/>
          <w:sz w:val="24"/>
          <w:szCs w:val="24"/>
        </w:rPr>
      </w:pPr>
      <w:r>
        <w:rPr>
          <w:rFonts w:ascii="Times New Roman" w:hAnsi="宋体"/>
          <w:b w:val="0"/>
          <w:sz w:val="24"/>
          <w:szCs w:val="24"/>
        </w:rPr>
        <w:t>一、项目概况</w:t>
      </w:r>
    </w:p>
    <w:p>
      <w:pPr>
        <w:pStyle w:val="2"/>
        <w:tabs>
          <w:tab w:val="left" w:pos="0"/>
        </w:tabs>
        <w:spacing w:line="360" w:lineRule="auto"/>
        <w:ind w:left="0" w:firstLine="480" w:firstLineChars="200"/>
        <w:jc w:val="both"/>
        <w:rPr>
          <w:rFonts w:ascii="Times New Roman" w:eastAsia="宋体" w:cs="Times New Roman"/>
          <w:sz w:val="24"/>
          <w:szCs w:val="24"/>
        </w:rPr>
      </w:pPr>
      <w:r>
        <w:rPr>
          <w:rFonts w:ascii="Times New Roman" w:eastAsia="宋体" w:cs="Times New Roman"/>
          <w:sz w:val="24"/>
          <w:szCs w:val="24"/>
        </w:rPr>
        <w:t xml:space="preserve">1.1 </w:t>
      </w:r>
      <w:r>
        <w:rPr>
          <w:rFonts w:ascii="Times New Roman" w:hAnsi="宋体" w:eastAsia="宋体" w:cs="Times New Roman"/>
          <w:sz w:val="24"/>
          <w:szCs w:val="24"/>
        </w:rPr>
        <w:t>工作地点：四川省攀枝花市。</w:t>
      </w:r>
    </w:p>
    <w:p>
      <w:pPr>
        <w:pStyle w:val="2"/>
        <w:tabs>
          <w:tab w:val="left" w:pos="0"/>
        </w:tabs>
        <w:spacing w:line="360" w:lineRule="auto"/>
        <w:ind w:left="0" w:firstLine="480" w:firstLineChars="200"/>
        <w:jc w:val="both"/>
        <w:rPr>
          <w:rFonts w:ascii="Times New Roman" w:eastAsia="宋体" w:cs="Times New Roman"/>
          <w:sz w:val="24"/>
          <w:szCs w:val="24"/>
        </w:rPr>
      </w:pPr>
      <w:r>
        <w:rPr>
          <w:rFonts w:ascii="Times New Roman" w:eastAsia="宋体" w:cs="Times New Roman"/>
          <w:sz w:val="24"/>
          <w:szCs w:val="24"/>
        </w:rPr>
        <w:t xml:space="preserve">1.2 </w:t>
      </w:r>
      <w:r>
        <w:rPr>
          <w:rFonts w:ascii="Times New Roman" w:hAnsi="宋体" w:eastAsia="宋体" w:cs="Times New Roman"/>
          <w:sz w:val="24"/>
          <w:szCs w:val="24"/>
        </w:rPr>
        <w:t>服务范围：编制金沙江金沙水电站竣工环境保护验收</w:t>
      </w:r>
      <w:r>
        <w:rPr>
          <w:rFonts w:hint="eastAsia" w:ascii="Times New Roman" w:hAnsi="宋体" w:eastAsia="宋体" w:cs="Times New Roman"/>
          <w:sz w:val="24"/>
          <w:szCs w:val="24"/>
        </w:rPr>
        <w:t>调查</w:t>
      </w:r>
      <w:r>
        <w:rPr>
          <w:rFonts w:ascii="Times New Roman" w:hAnsi="宋体" w:eastAsia="宋体" w:cs="Times New Roman"/>
          <w:sz w:val="24"/>
          <w:szCs w:val="24"/>
        </w:rPr>
        <w:t>报告</w:t>
      </w:r>
      <w:r>
        <w:rPr>
          <w:rFonts w:hint="eastAsia" w:ascii="Times New Roman" w:hAnsi="宋体" w:eastAsia="宋体" w:cs="Times New Roman"/>
          <w:sz w:val="24"/>
          <w:szCs w:val="24"/>
        </w:rPr>
        <w:t>并配合招标方完成公示及备案工作</w:t>
      </w:r>
      <w:r>
        <w:rPr>
          <w:rFonts w:ascii="Times New Roman" w:hAnsi="宋体" w:eastAsia="宋体" w:cs="Times New Roman"/>
          <w:sz w:val="24"/>
          <w:szCs w:val="24"/>
        </w:rPr>
        <w:t>，</w:t>
      </w:r>
      <w:r>
        <w:rPr>
          <w:rFonts w:hint="eastAsia" w:ascii="Times New Roman" w:hAnsi="宋体" w:eastAsia="宋体" w:cs="Times New Roman"/>
          <w:sz w:val="24"/>
          <w:szCs w:val="24"/>
        </w:rPr>
        <w:t>开展陆生生态调查工作，编制陆生生态调查与评价专题报告，</w:t>
      </w:r>
      <w:r>
        <w:rPr>
          <w:rFonts w:ascii="Times New Roman" w:hAnsi="宋体" w:eastAsia="宋体" w:cs="Times New Roman"/>
          <w:sz w:val="24"/>
          <w:szCs w:val="24"/>
        </w:rPr>
        <w:t>为工程竣工环境保护验收提供支撑和依据</w:t>
      </w:r>
      <w:r>
        <w:rPr>
          <w:rFonts w:ascii="Times New Roman" w:hAnsi="宋体" w:eastAsia="宋体" w:cs="Times New Roman"/>
          <w:sz w:val="24"/>
          <w:szCs w:val="24"/>
          <w:lang w:bidi="en-US"/>
        </w:rPr>
        <w:t>。</w:t>
      </w:r>
    </w:p>
    <w:p>
      <w:pPr>
        <w:pStyle w:val="7"/>
        <w:spacing w:before="40" w:after="40"/>
        <w:rPr>
          <w:rFonts w:ascii="Times New Roman" w:hAnsi="宋体"/>
          <w:b w:val="0"/>
          <w:sz w:val="24"/>
          <w:szCs w:val="24"/>
        </w:rPr>
      </w:pPr>
      <w:r>
        <w:rPr>
          <w:rFonts w:ascii="Times New Roman" w:hAnsi="宋体"/>
          <w:b w:val="0"/>
          <w:sz w:val="24"/>
          <w:szCs w:val="24"/>
        </w:rPr>
        <w:t>二、工作内容</w:t>
      </w:r>
    </w:p>
    <w:p>
      <w:pPr>
        <w:pStyle w:val="2"/>
        <w:tabs>
          <w:tab w:val="left" w:pos="0"/>
        </w:tabs>
        <w:autoSpaceDE/>
        <w:autoSpaceDN/>
        <w:adjustRightInd/>
        <w:snapToGrid w:val="0"/>
        <w:spacing w:line="360" w:lineRule="auto"/>
        <w:ind w:left="0" w:firstLine="480" w:firstLineChars="200"/>
        <w:jc w:val="both"/>
      </w:pPr>
      <w:r>
        <w:rPr>
          <w:rFonts w:hint="eastAsia" w:ascii="宋体" w:hAnsi="宋体" w:eastAsia="宋体" w:cs="宋体"/>
          <w:sz w:val="24"/>
          <w:szCs w:val="24"/>
        </w:rPr>
        <w:t>2.1 工作内容</w:t>
      </w:r>
    </w:p>
    <w:p>
      <w:pPr>
        <w:topLinePunct/>
        <w:autoSpaceDE/>
        <w:autoSpaceDN/>
        <w:snapToGrid w:val="0"/>
        <w:spacing w:line="360" w:lineRule="auto"/>
        <w:ind w:firstLine="480" w:firstLineChars="200"/>
        <w:jc w:val="both"/>
        <w:textAlignment w:val="center"/>
        <w:rPr>
          <w:rFonts w:eastAsia="宋体"/>
        </w:rPr>
      </w:pPr>
      <w:r>
        <w:rPr>
          <w:rFonts w:hAnsi="宋体" w:eastAsia="宋体"/>
        </w:rPr>
        <w:t>依据建设项目竣工环境保护验收等国家法律法规、规范规程、技术标准及金沙水电站工程环境影响报告书及批复要求开展金沙水电站工程竣工环境保护验收与调查相关工作，编制提交金沙水电站工程竣工环境保护验收调查报告，</w:t>
      </w:r>
      <w:r>
        <w:rPr>
          <w:rFonts w:hint="eastAsia" w:hAnsi="宋体" w:eastAsia="宋体"/>
        </w:rPr>
        <w:t>以及金沙水电站竣工环保验收所必需的专题报告，</w:t>
      </w:r>
      <w:r>
        <w:rPr>
          <w:rFonts w:hAnsi="宋体" w:eastAsia="宋体"/>
        </w:rPr>
        <w:t>配合建设单位开展工程竣工保护验收的自查、验收、公示及备案等相关工作。</w:t>
      </w:r>
      <w:r>
        <w:rPr>
          <w:rFonts w:hint="eastAsia" w:hAnsi="宋体" w:eastAsia="宋体"/>
        </w:rPr>
        <w:t>本项目承包人工作内容如下，包括但不限于：</w:t>
      </w:r>
    </w:p>
    <w:p>
      <w:pPr>
        <w:pStyle w:val="2"/>
        <w:tabs>
          <w:tab w:val="left" w:pos="0"/>
        </w:tabs>
        <w:spacing w:line="360" w:lineRule="auto"/>
        <w:ind w:left="0" w:firstLine="484" w:firstLineChars="200"/>
        <w:jc w:val="both"/>
        <w:rPr>
          <w:rFonts w:ascii="Times New Roman" w:hAnsi="宋体" w:eastAsia="宋体" w:cs="Times New Roman"/>
          <w:spacing w:val="1"/>
          <w:sz w:val="24"/>
          <w:szCs w:val="24"/>
        </w:rPr>
      </w:pPr>
      <w:r>
        <w:rPr>
          <w:rFonts w:hint="eastAsia" w:ascii="Times New Roman" w:hAnsi="宋体" w:eastAsia="宋体" w:cs="Times New Roman"/>
          <w:spacing w:val="1"/>
          <w:sz w:val="24"/>
          <w:szCs w:val="24"/>
        </w:rPr>
        <w:t>（1）对照建设项目重大变动清单（环办[2015]52号），梳理实际工程内容及变更情况。</w:t>
      </w:r>
    </w:p>
    <w:p>
      <w:pPr>
        <w:pStyle w:val="2"/>
        <w:tabs>
          <w:tab w:val="left" w:pos="0"/>
        </w:tabs>
        <w:spacing w:line="360" w:lineRule="auto"/>
        <w:ind w:left="0" w:firstLine="484" w:firstLineChars="200"/>
        <w:jc w:val="both"/>
        <w:rPr>
          <w:rFonts w:ascii="Times New Roman" w:hAnsi="宋体" w:eastAsia="宋体" w:cs="Times New Roman"/>
          <w:spacing w:val="1"/>
          <w:sz w:val="24"/>
          <w:szCs w:val="24"/>
        </w:rPr>
      </w:pPr>
      <w:r>
        <w:rPr>
          <w:rFonts w:hint="eastAsia" w:ascii="Times New Roman" w:hAnsi="宋体" w:eastAsia="宋体" w:cs="Times New Roman"/>
          <w:spacing w:val="1"/>
          <w:sz w:val="24"/>
          <w:szCs w:val="24"/>
        </w:rPr>
        <w:t>（2）调查工程环境敏感目标基本情况及变更情况。</w:t>
      </w:r>
    </w:p>
    <w:p>
      <w:pPr>
        <w:pStyle w:val="2"/>
        <w:tabs>
          <w:tab w:val="left" w:pos="0"/>
        </w:tabs>
        <w:spacing w:line="360" w:lineRule="auto"/>
        <w:ind w:left="0" w:firstLine="484" w:firstLineChars="200"/>
        <w:jc w:val="both"/>
        <w:rPr>
          <w:rFonts w:ascii="Times New Roman" w:hAnsi="宋体" w:eastAsia="宋体" w:cs="Times New Roman"/>
          <w:spacing w:val="1"/>
          <w:sz w:val="24"/>
          <w:szCs w:val="24"/>
        </w:rPr>
      </w:pPr>
      <w:r>
        <w:rPr>
          <w:rFonts w:hint="eastAsia" w:ascii="Times New Roman" w:hAnsi="宋体" w:eastAsia="宋体" w:cs="Times New Roman"/>
          <w:spacing w:val="1"/>
          <w:sz w:val="24"/>
          <w:szCs w:val="24"/>
        </w:rPr>
        <w:t>（3）调查实际工程内容及变更情况造成的环境影响变化。</w:t>
      </w:r>
    </w:p>
    <w:p>
      <w:pPr>
        <w:pStyle w:val="2"/>
        <w:tabs>
          <w:tab w:val="left" w:pos="0"/>
        </w:tabs>
        <w:spacing w:line="360" w:lineRule="auto"/>
        <w:ind w:left="0" w:firstLine="484" w:firstLineChars="200"/>
        <w:jc w:val="both"/>
        <w:rPr>
          <w:rFonts w:ascii="Times New Roman" w:hAnsi="宋体" w:eastAsia="宋体" w:cs="Times New Roman"/>
          <w:spacing w:val="1"/>
          <w:sz w:val="24"/>
          <w:szCs w:val="24"/>
        </w:rPr>
      </w:pPr>
      <w:r>
        <w:rPr>
          <w:rFonts w:hint="eastAsia" w:ascii="Times New Roman" w:hAnsi="宋体" w:eastAsia="宋体" w:cs="Times New Roman"/>
          <w:spacing w:val="1"/>
          <w:sz w:val="24"/>
          <w:szCs w:val="24"/>
        </w:rPr>
        <w:t>（4）调查环保规章制度执行情况。</w:t>
      </w:r>
    </w:p>
    <w:p>
      <w:pPr>
        <w:pStyle w:val="2"/>
        <w:tabs>
          <w:tab w:val="left" w:pos="0"/>
        </w:tabs>
        <w:spacing w:line="360" w:lineRule="auto"/>
        <w:ind w:left="0" w:firstLine="484" w:firstLineChars="200"/>
        <w:jc w:val="both"/>
        <w:rPr>
          <w:rFonts w:ascii="Times New Roman" w:hAnsi="宋体" w:eastAsia="宋体" w:cs="Times New Roman"/>
          <w:spacing w:val="1"/>
          <w:sz w:val="24"/>
          <w:szCs w:val="24"/>
        </w:rPr>
      </w:pPr>
      <w:r>
        <w:rPr>
          <w:rFonts w:hint="eastAsia" w:ascii="Times New Roman" w:hAnsi="宋体" w:eastAsia="宋体" w:cs="Times New Roman"/>
          <w:spacing w:val="1"/>
          <w:sz w:val="24"/>
          <w:szCs w:val="24"/>
        </w:rPr>
        <w:t>（5）调查《金沙江金沙水电站环境影响报告书》及环境影响审批文件中提出的工程环保设施落实情况及其效果；调查工程运行期主要环境影响；调查环境风险防范与应急措施落实情况及有效性。</w:t>
      </w:r>
    </w:p>
    <w:p>
      <w:pPr>
        <w:pStyle w:val="2"/>
        <w:tabs>
          <w:tab w:val="left" w:pos="0"/>
        </w:tabs>
        <w:spacing w:line="360" w:lineRule="auto"/>
        <w:ind w:left="0" w:firstLine="484" w:firstLineChars="200"/>
        <w:jc w:val="both"/>
        <w:rPr>
          <w:rFonts w:ascii="Times New Roman" w:hAnsi="宋体" w:eastAsia="宋体" w:cs="Times New Roman"/>
          <w:spacing w:val="1"/>
          <w:sz w:val="24"/>
          <w:szCs w:val="24"/>
        </w:rPr>
      </w:pPr>
      <w:r>
        <w:rPr>
          <w:rFonts w:hint="eastAsia" w:ascii="Times New Roman" w:hAnsi="宋体" w:eastAsia="宋体" w:cs="Times New Roman"/>
          <w:spacing w:val="1"/>
          <w:sz w:val="24"/>
          <w:szCs w:val="24"/>
        </w:rPr>
        <w:t>（6）调查工程实际存在的环境问题以及公众关注的环境问题。</w:t>
      </w:r>
    </w:p>
    <w:p>
      <w:pPr>
        <w:pStyle w:val="2"/>
        <w:tabs>
          <w:tab w:val="left" w:pos="0"/>
        </w:tabs>
        <w:spacing w:line="360" w:lineRule="auto"/>
        <w:ind w:left="0" w:firstLine="484" w:firstLineChars="200"/>
        <w:jc w:val="both"/>
        <w:rPr>
          <w:rFonts w:ascii="Times New Roman" w:hAnsi="宋体" w:eastAsia="宋体" w:cs="Times New Roman"/>
          <w:spacing w:val="1"/>
          <w:sz w:val="24"/>
          <w:szCs w:val="24"/>
        </w:rPr>
      </w:pPr>
      <w:r>
        <w:rPr>
          <w:rFonts w:hint="eastAsia" w:ascii="Times New Roman" w:hAnsi="宋体" w:eastAsia="宋体" w:cs="Times New Roman"/>
          <w:spacing w:val="1"/>
          <w:sz w:val="24"/>
          <w:szCs w:val="24"/>
        </w:rPr>
        <w:t>（7）核查工程环境监测和环境监理执行情况及其效果。</w:t>
      </w:r>
    </w:p>
    <w:p>
      <w:pPr>
        <w:pStyle w:val="2"/>
        <w:tabs>
          <w:tab w:val="left" w:pos="0"/>
        </w:tabs>
        <w:spacing w:line="360" w:lineRule="auto"/>
        <w:ind w:left="0" w:firstLine="484" w:firstLineChars="200"/>
        <w:jc w:val="both"/>
        <w:rPr>
          <w:rFonts w:ascii="Times New Roman" w:hAnsi="宋体" w:eastAsia="宋体" w:cs="Times New Roman"/>
          <w:spacing w:val="1"/>
          <w:sz w:val="24"/>
          <w:szCs w:val="24"/>
        </w:rPr>
      </w:pPr>
      <w:r>
        <w:rPr>
          <w:rFonts w:hint="eastAsia" w:ascii="Times New Roman" w:hAnsi="宋体" w:eastAsia="宋体" w:cs="Times New Roman"/>
          <w:spacing w:val="1"/>
          <w:sz w:val="24"/>
          <w:szCs w:val="24"/>
        </w:rPr>
        <w:t>（8）核查工程环保投资情况。</w:t>
      </w:r>
    </w:p>
    <w:p>
      <w:pPr>
        <w:pStyle w:val="2"/>
        <w:tabs>
          <w:tab w:val="left" w:pos="0"/>
        </w:tabs>
        <w:spacing w:line="360" w:lineRule="auto"/>
        <w:ind w:left="0" w:firstLine="484" w:firstLineChars="200"/>
        <w:jc w:val="both"/>
        <w:rPr>
          <w:rFonts w:ascii="Times New Roman" w:hAnsi="宋体" w:eastAsia="宋体" w:cs="Times New Roman"/>
          <w:spacing w:val="1"/>
          <w:sz w:val="24"/>
          <w:szCs w:val="24"/>
        </w:rPr>
      </w:pPr>
      <w:r>
        <w:rPr>
          <w:rFonts w:hint="eastAsia" w:ascii="Times New Roman" w:hAnsi="宋体" w:eastAsia="宋体" w:cs="Times New Roman"/>
          <w:spacing w:val="1"/>
          <w:sz w:val="24"/>
          <w:szCs w:val="24"/>
        </w:rPr>
        <w:t>（9）根据环保验收相关技术规范要求，补充开展环境监测工作。</w:t>
      </w:r>
    </w:p>
    <w:p>
      <w:pPr>
        <w:pStyle w:val="2"/>
        <w:tabs>
          <w:tab w:val="left" w:pos="0"/>
        </w:tabs>
        <w:spacing w:line="360" w:lineRule="auto"/>
        <w:ind w:left="0" w:firstLine="484" w:firstLineChars="200"/>
        <w:jc w:val="both"/>
        <w:rPr>
          <w:rFonts w:ascii="Times New Roman" w:hAnsi="宋体" w:eastAsia="宋体" w:cs="Times New Roman"/>
          <w:spacing w:val="1"/>
          <w:sz w:val="24"/>
          <w:szCs w:val="24"/>
        </w:rPr>
      </w:pPr>
      <w:r>
        <w:rPr>
          <w:rFonts w:hint="eastAsia" w:ascii="Times New Roman" w:hAnsi="宋体" w:eastAsia="宋体" w:cs="Times New Roman"/>
          <w:spacing w:val="1"/>
          <w:sz w:val="24"/>
          <w:szCs w:val="24"/>
        </w:rPr>
        <w:t>（1</w:t>
      </w:r>
      <w:r>
        <w:rPr>
          <w:rFonts w:ascii="Times New Roman" w:hAnsi="宋体" w:eastAsia="宋体" w:cs="Times New Roman"/>
          <w:spacing w:val="1"/>
          <w:sz w:val="24"/>
          <w:szCs w:val="24"/>
        </w:rPr>
        <w:t>0</w:t>
      </w:r>
      <w:r>
        <w:rPr>
          <w:rFonts w:hint="eastAsia" w:ascii="Times New Roman" w:hAnsi="宋体" w:eastAsia="宋体" w:cs="Times New Roman"/>
          <w:spacing w:val="1"/>
          <w:sz w:val="24"/>
          <w:szCs w:val="24"/>
        </w:rPr>
        <w:t>）</w:t>
      </w:r>
      <w:r>
        <w:rPr>
          <w:rFonts w:ascii="Times New Roman" w:hAnsi="宋体" w:eastAsia="宋体" w:cs="Times New Roman"/>
          <w:sz w:val="24"/>
          <w:szCs w:val="24"/>
        </w:rPr>
        <w:t>完成《金沙江金沙水电站</w:t>
      </w:r>
      <w:r>
        <w:rPr>
          <w:rFonts w:hAnsi="宋体" w:eastAsia="宋体"/>
          <w:sz w:val="24"/>
          <w:szCs w:val="24"/>
        </w:rPr>
        <w:t>竣工环境保护验收调查</w:t>
      </w:r>
      <w:r>
        <w:rPr>
          <w:rFonts w:ascii="Times New Roman" w:hAnsi="宋体" w:eastAsia="宋体" w:cs="Times New Roman"/>
          <w:sz w:val="24"/>
          <w:szCs w:val="24"/>
        </w:rPr>
        <w:t>报告》</w:t>
      </w:r>
      <w:r>
        <w:rPr>
          <w:rFonts w:hint="eastAsia" w:ascii="Times New Roman" w:hAnsi="宋体" w:eastAsia="宋体" w:cs="Times New Roman"/>
          <w:sz w:val="24"/>
          <w:szCs w:val="24"/>
        </w:rPr>
        <w:t>《</w:t>
      </w:r>
      <w:r>
        <w:rPr>
          <w:rFonts w:ascii="Times New Roman" w:hAnsi="宋体" w:eastAsia="宋体" w:cs="Times New Roman"/>
          <w:sz w:val="24"/>
          <w:szCs w:val="24"/>
        </w:rPr>
        <w:t>金沙江金沙水电站</w:t>
      </w:r>
      <w:r>
        <w:rPr>
          <w:rFonts w:hint="eastAsia" w:ascii="Times New Roman" w:hAnsi="宋体" w:eastAsia="宋体" w:cs="Times New Roman"/>
          <w:sz w:val="24"/>
          <w:szCs w:val="24"/>
        </w:rPr>
        <w:t>运行期陆生生态调查报告》，</w:t>
      </w:r>
      <w:r>
        <w:rPr>
          <w:rFonts w:hint="eastAsia" w:ascii="Times New Roman" w:hAnsi="宋体" w:eastAsia="宋体" w:cs="Times New Roman"/>
          <w:spacing w:val="1"/>
          <w:sz w:val="24"/>
          <w:szCs w:val="24"/>
        </w:rPr>
        <w:t>根据调查情况，形成验收结论和工作建议。</w:t>
      </w:r>
    </w:p>
    <w:p>
      <w:pPr>
        <w:pStyle w:val="2"/>
        <w:tabs>
          <w:tab w:val="left" w:pos="0"/>
        </w:tabs>
        <w:spacing w:line="360" w:lineRule="auto"/>
        <w:ind w:left="0" w:firstLine="480" w:firstLineChars="200"/>
        <w:jc w:val="both"/>
        <w:rPr>
          <w:rFonts w:ascii="Times New Roman" w:hAnsi="宋体" w:eastAsia="宋体" w:cs="Times New Roman"/>
          <w:spacing w:val="1"/>
          <w:sz w:val="24"/>
          <w:szCs w:val="24"/>
        </w:rPr>
      </w:pPr>
      <w:r>
        <w:rPr>
          <w:rFonts w:hint="eastAsia" w:ascii="Times New Roman" w:hAnsi="宋体" w:eastAsia="宋体" w:cs="Times New Roman"/>
          <w:sz w:val="24"/>
          <w:szCs w:val="24"/>
        </w:rPr>
        <w:t>（1</w:t>
      </w:r>
      <w:r>
        <w:rPr>
          <w:rFonts w:ascii="Times New Roman" w:hAnsi="宋体" w:eastAsia="宋体" w:cs="Times New Roman"/>
          <w:sz w:val="24"/>
          <w:szCs w:val="24"/>
        </w:rPr>
        <w:t>1</w:t>
      </w:r>
      <w:r>
        <w:rPr>
          <w:rFonts w:hint="eastAsia" w:ascii="Times New Roman" w:hAnsi="宋体" w:eastAsia="宋体" w:cs="Times New Roman"/>
          <w:sz w:val="24"/>
          <w:szCs w:val="24"/>
        </w:rPr>
        <w:t>）配合委托人组织验收工作组开展现场勘查和验收会议，承担会务工作。</w:t>
      </w:r>
    </w:p>
    <w:p>
      <w:pPr>
        <w:pStyle w:val="2"/>
        <w:tabs>
          <w:tab w:val="left" w:pos="0"/>
        </w:tabs>
        <w:spacing w:line="360" w:lineRule="auto"/>
        <w:ind w:left="0" w:firstLine="484" w:firstLineChars="200"/>
        <w:jc w:val="both"/>
        <w:rPr>
          <w:rFonts w:hint="eastAsia" w:ascii="Times New Roman" w:hAnsi="宋体" w:eastAsia="宋体" w:cs="Times New Roman"/>
          <w:spacing w:val="1"/>
          <w:sz w:val="24"/>
          <w:szCs w:val="24"/>
        </w:rPr>
      </w:pPr>
      <w:r>
        <w:rPr>
          <w:rFonts w:hint="eastAsia" w:ascii="Times New Roman" w:hAnsi="宋体" w:eastAsia="宋体" w:cs="Times New Roman"/>
          <w:spacing w:val="1"/>
          <w:sz w:val="24"/>
          <w:szCs w:val="24"/>
        </w:rPr>
        <w:t>（1</w:t>
      </w:r>
      <w:r>
        <w:rPr>
          <w:rFonts w:ascii="Times New Roman" w:hAnsi="宋体" w:eastAsia="宋体" w:cs="Times New Roman"/>
          <w:spacing w:val="1"/>
          <w:sz w:val="24"/>
          <w:szCs w:val="24"/>
        </w:rPr>
        <w:t>2</w:t>
      </w:r>
      <w:r>
        <w:rPr>
          <w:rFonts w:hint="eastAsia" w:ascii="Times New Roman" w:hAnsi="宋体" w:eastAsia="宋体" w:cs="Times New Roman"/>
          <w:spacing w:val="1"/>
          <w:sz w:val="24"/>
          <w:szCs w:val="24"/>
        </w:rPr>
        <w:t>）协助委托人完成验收公示和备案工作。</w:t>
      </w:r>
    </w:p>
    <w:p>
      <w:pPr>
        <w:pStyle w:val="7"/>
        <w:adjustRightInd/>
        <w:spacing w:before="40" w:after="40" w:line="360" w:lineRule="auto"/>
        <w:ind w:left="0" w:firstLine="480" w:firstLineChars="200"/>
        <w:jc w:val="both"/>
        <w:rPr>
          <w:rFonts w:hint="default" w:ascii="Times New Roman" w:hAnsi="宋体" w:eastAsia="宋体" w:cs="Times New Roman"/>
          <w:b w:val="0"/>
          <w:kern w:val="2"/>
          <w:sz w:val="24"/>
          <w:szCs w:val="24"/>
          <w:lang w:val="en-US" w:eastAsia="zh-CN"/>
        </w:rPr>
      </w:pPr>
      <w:r>
        <w:rPr>
          <w:rFonts w:hint="default" w:ascii="Times New Roman" w:hAnsi="宋体" w:eastAsia="宋体" w:cs="Times New Roman"/>
          <w:b w:val="0"/>
          <w:kern w:val="2"/>
          <w:sz w:val="24"/>
          <w:szCs w:val="24"/>
          <w:lang w:val="en-US" w:eastAsia="zh-CN"/>
        </w:rPr>
        <w:t>乙方履行本合同义务，应当符合《</w:t>
      </w:r>
      <w:r>
        <w:rPr>
          <w:rFonts w:hint="default" w:ascii="Times New Roman" w:hAnsi="宋体" w:eastAsia="宋体" w:cs="Times New Roman"/>
          <w:b w:val="0"/>
          <w:kern w:val="2"/>
          <w:sz w:val="24"/>
          <w:szCs w:val="24"/>
        </w:rPr>
        <w:t>金沙江金沙水电站竣工环境保护验收及陆生生态调查技术服务</w:t>
      </w:r>
      <w:r>
        <w:rPr>
          <w:rFonts w:hint="default" w:ascii="Times New Roman" w:hAnsi="宋体" w:cs="Times New Roman"/>
          <w:b w:val="0"/>
          <w:bCs/>
          <w:color w:val="000000"/>
          <w:sz w:val="24"/>
          <w:szCs w:val="24"/>
        </w:rPr>
        <w:t>招标文件</w:t>
      </w:r>
      <w:r>
        <w:rPr>
          <w:rFonts w:hint="default" w:ascii="Times New Roman" w:hAnsi="宋体" w:eastAsia="宋体" w:cs="Times New Roman"/>
          <w:b w:val="0"/>
          <w:kern w:val="2"/>
          <w:sz w:val="24"/>
          <w:szCs w:val="24"/>
          <w:lang w:val="en-US" w:eastAsia="zh-CN"/>
        </w:rPr>
        <w:t>》</w:t>
      </w:r>
      <w:r>
        <w:rPr>
          <w:rFonts w:hint="default" w:ascii="Times New Roman" w:hAnsi="宋体" w:cs="Times New Roman"/>
          <w:b w:val="0"/>
          <w:kern w:val="2"/>
          <w:sz w:val="24"/>
          <w:szCs w:val="24"/>
          <w:lang w:val="en-US" w:eastAsia="zh-CN"/>
        </w:rPr>
        <w:t>（</w:t>
      </w:r>
      <w:r>
        <w:rPr>
          <w:rFonts w:hint="default" w:ascii="Times New Roman" w:hAnsi="宋体" w:eastAsia="宋体" w:cs="Times New Roman"/>
          <w:b w:val="0"/>
          <w:sz w:val="24"/>
          <w:szCs w:val="24"/>
        </w:rPr>
        <w:t>招标编号：PZH-JS-QT-247</w:t>
      </w:r>
      <w:r>
        <w:rPr>
          <w:rFonts w:hint="default" w:ascii="Times New Roman" w:hAnsi="宋体" w:cs="Times New Roman"/>
          <w:b w:val="0"/>
          <w:kern w:val="2"/>
          <w:sz w:val="24"/>
          <w:szCs w:val="24"/>
          <w:lang w:val="en-US" w:eastAsia="zh-CN"/>
        </w:rPr>
        <w:t>）</w:t>
      </w:r>
      <w:r>
        <w:rPr>
          <w:rFonts w:hint="default" w:ascii="Times New Roman" w:hAnsi="宋体" w:eastAsia="宋体"/>
          <w:b w:val="0"/>
          <w:sz w:val="24"/>
          <w:szCs w:val="24"/>
        </w:rPr>
        <w:t>第五章招标人要求</w:t>
      </w:r>
      <w:r>
        <w:rPr>
          <w:rFonts w:hint="default" w:ascii="Times New Roman" w:hAnsi="宋体" w:cs="Times New Roman"/>
          <w:b w:val="0"/>
          <w:sz w:val="24"/>
          <w:szCs w:val="24"/>
          <w:lang w:eastAsia="zh-CN"/>
        </w:rPr>
        <w:t>。</w:t>
      </w:r>
    </w:p>
    <w:p>
      <w:pPr>
        <w:pStyle w:val="2"/>
        <w:tabs>
          <w:tab w:val="left" w:pos="0"/>
        </w:tabs>
        <w:spacing w:line="360" w:lineRule="auto"/>
        <w:ind w:left="0" w:firstLine="480" w:firstLineChars="200"/>
        <w:jc w:val="both"/>
        <w:rPr>
          <w:rFonts w:ascii="Times New Roman" w:eastAsia="宋体" w:cs="Times New Roman"/>
          <w:sz w:val="24"/>
          <w:szCs w:val="24"/>
        </w:rPr>
      </w:pPr>
      <w:r>
        <w:rPr>
          <w:rFonts w:ascii="Times New Roman" w:eastAsia="宋体" w:cs="Times New Roman"/>
          <w:sz w:val="24"/>
          <w:szCs w:val="24"/>
        </w:rPr>
        <w:t xml:space="preserve">2.2 </w:t>
      </w:r>
      <w:r>
        <w:rPr>
          <w:rFonts w:ascii="Times New Roman" w:hAnsi="宋体" w:eastAsia="宋体" w:cs="Times New Roman"/>
          <w:sz w:val="24"/>
          <w:szCs w:val="24"/>
        </w:rPr>
        <w:t>工期</w:t>
      </w:r>
    </w:p>
    <w:p>
      <w:pPr>
        <w:spacing w:line="360" w:lineRule="auto"/>
        <w:ind w:firstLine="484" w:firstLineChars="200"/>
        <w:jc w:val="both"/>
        <w:rPr>
          <w:rFonts w:eastAsia="宋体"/>
          <w:spacing w:val="1"/>
        </w:rPr>
      </w:pPr>
      <w:r>
        <w:rPr>
          <w:rFonts w:hAnsi="宋体" w:eastAsia="宋体"/>
          <w:spacing w:val="1"/>
        </w:rPr>
        <w:t>合同签订日起至完成验收备案为止。</w:t>
      </w:r>
    </w:p>
    <w:p>
      <w:pPr>
        <w:pStyle w:val="7"/>
        <w:spacing w:before="40" w:after="40"/>
        <w:rPr>
          <w:rFonts w:ascii="Times New Roman" w:hAnsi="Times New Roman"/>
          <w:b w:val="0"/>
          <w:sz w:val="24"/>
          <w:szCs w:val="24"/>
        </w:rPr>
      </w:pPr>
      <w:r>
        <w:rPr>
          <w:rFonts w:ascii="Times New Roman" w:hAnsi="宋体"/>
          <w:b w:val="0"/>
          <w:sz w:val="24"/>
          <w:szCs w:val="24"/>
        </w:rPr>
        <w:t>三、下列文件均为本合同的组成部分：</w:t>
      </w:r>
    </w:p>
    <w:p>
      <w:pPr>
        <w:snapToGrid w:val="0"/>
        <w:spacing w:line="360" w:lineRule="auto"/>
        <w:ind w:firstLine="480" w:firstLineChars="200"/>
        <w:jc w:val="both"/>
        <w:rPr>
          <w:rFonts w:ascii="宋体" w:hAnsi="宋体" w:eastAsia="宋体" w:cs="宋体"/>
          <w:lang w:val="zh-CN"/>
        </w:rPr>
      </w:pPr>
      <w:r>
        <w:rPr>
          <w:rFonts w:hint="eastAsia" w:ascii="宋体" w:hAnsi="宋体" w:eastAsia="宋体" w:cs="宋体"/>
        </w:rPr>
        <w:t>1.</w:t>
      </w:r>
      <w:r>
        <w:rPr>
          <w:rFonts w:hint="eastAsia" w:ascii="宋体" w:hAnsi="宋体" w:eastAsia="宋体" w:cs="宋体"/>
          <w:lang w:val="zh-CN"/>
        </w:rPr>
        <w:t>合同书；</w:t>
      </w:r>
    </w:p>
    <w:p>
      <w:pPr>
        <w:snapToGrid w:val="0"/>
        <w:spacing w:line="360" w:lineRule="auto"/>
        <w:ind w:firstLine="480" w:firstLineChars="200"/>
        <w:jc w:val="both"/>
        <w:rPr>
          <w:rFonts w:ascii="宋体" w:hAnsi="宋体" w:eastAsia="宋体" w:cs="宋体"/>
          <w:lang w:val="zh-CN"/>
        </w:rPr>
      </w:pPr>
      <w:r>
        <w:rPr>
          <w:rFonts w:hint="eastAsia" w:ascii="宋体" w:hAnsi="宋体" w:eastAsia="宋体" w:cs="宋体"/>
        </w:rPr>
        <w:t>2.</w:t>
      </w:r>
      <w:r>
        <w:rPr>
          <w:rFonts w:hint="eastAsia" w:ascii="宋体" w:hAnsi="宋体" w:eastAsia="宋体" w:cs="宋体"/>
          <w:lang w:val="zh-CN"/>
        </w:rPr>
        <w:t>合同</w:t>
      </w:r>
      <w:r>
        <w:rPr>
          <w:rFonts w:hint="eastAsia" w:ascii="宋体" w:hAnsi="宋体" w:eastAsia="宋体" w:cs="宋体"/>
        </w:rPr>
        <w:t>洽谈纪要</w:t>
      </w:r>
      <w:r>
        <w:rPr>
          <w:rFonts w:hint="eastAsia" w:ascii="宋体" w:hAnsi="宋体" w:eastAsia="宋体" w:cs="宋体"/>
          <w:lang w:val="zh-CN"/>
        </w:rPr>
        <w:t>；</w:t>
      </w:r>
    </w:p>
    <w:p>
      <w:pPr>
        <w:snapToGrid w:val="0"/>
        <w:spacing w:line="360" w:lineRule="auto"/>
        <w:ind w:firstLine="480" w:firstLineChars="200"/>
        <w:jc w:val="both"/>
        <w:rPr>
          <w:rFonts w:ascii="宋体" w:hAnsi="宋体" w:eastAsia="宋体" w:cs="宋体"/>
          <w:lang w:val="zh-CN"/>
        </w:rPr>
      </w:pPr>
      <w:r>
        <w:rPr>
          <w:rFonts w:hint="eastAsia" w:ascii="宋体" w:hAnsi="宋体" w:eastAsia="宋体" w:cs="宋体"/>
        </w:rPr>
        <w:t>3.</w:t>
      </w:r>
      <w:r>
        <w:rPr>
          <w:rFonts w:hint="eastAsia" w:ascii="宋体" w:hAnsi="宋体" w:eastAsia="宋体" w:cs="宋体"/>
          <w:lang w:val="zh-CN"/>
        </w:rPr>
        <w:t>中标通知书；</w:t>
      </w:r>
    </w:p>
    <w:p>
      <w:pPr>
        <w:pStyle w:val="2"/>
        <w:tabs>
          <w:tab w:val="left" w:pos="0"/>
        </w:tabs>
        <w:snapToGrid w:val="0"/>
        <w:spacing w:line="360" w:lineRule="auto"/>
        <w:ind w:left="0" w:firstLine="480" w:firstLineChars="200"/>
        <w:jc w:val="both"/>
        <w:rPr>
          <w:rFonts w:ascii="宋体" w:hAnsi="宋体" w:eastAsia="宋体" w:cs="宋体"/>
        </w:rPr>
      </w:pPr>
      <w:r>
        <w:rPr>
          <w:rFonts w:hint="eastAsia" w:ascii="宋体" w:hAnsi="宋体" w:eastAsia="宋体" w:cs="宋体"/>
          <w:sz w:val="24"/>
        </w:rPr>
        <w:t>4.投标函及附录；</w:t>
      </w:r>
    </w:p>
    <w:p>
      <w:pPr>
        <w:snapToGrid w:val="0"/>
        <w:spacing w:line="360" w:lineRule="auto"/>
        <w:ind w:firstLine="480" w:firstLineChars="200"/>
        <w:jc w:val="both"/>
        <w:rPr>
          <w:rFonts w:ascii="宋体" w:hAnsi="宋体" w:eastAsia="宋体" w:cs="宋体"/>
          <w:lang w:val="zh-CN"/>
        </w:rPr>
      </w:pPr>
      <w:r>
        <w:rPr>
          <w:rFonts w:hint="eastAsia" w:ascii="宋体" w:hAnsi="宋体" w:eastAsia="宋体" w:cs="宋体"/>
        </w:rPr>
        <w:t>5.招标人要求</w:t>
      </w:r>
      <w:r>
        <w:rPr>
          <w:rFonts w:hint="eastAsia" w:ascii="宋体" w:hAnsi="宋体" w:eastAsia="宋体" w:cs="宋体"/>
          <w:lang w:val="zh-CN"/>
        </w:rPr>
        <w:t>；</w:t>
      </w:r>
    </w:p>
    <w:p>
      <w:pPr>
        <w:snapToGrid w:val="0"/>
        <w:spacing w:line="360" w:lineRule="auto"/>
        <w:ind w:firstLine="480" w:firstLineChars="200"/>
        <w:jc w:val="both"/>
        <w:rPr>
          <w:rFonts w:ascii="宋体" w:hAnsi="宋体" w:eastAsia="宋体" w:cs="宋体"/>
        </w:rPr>
      </w:pPr>
      <w:r>
        <w:rPr>
          <w:rFonts w:hint="eastAsia" w:ascii="宋体" w:hAnsi="宋体" w:eastAsia="宋体" w:cs="宋体"/>
        </w:rPr>
        <w:t>6.已标价工程量清单；</w:t>
      </w:r>
    </w:p>
    <w:p>
      <w:pPr>
        <w:pStyle w:val="2"/>
        <w:tabs>
          <w:tab w:val="left" w:pos="0"/>
        </w:tabs>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7.其他合同文件。</w:t>
      </w:r>
    </w:p>
    <w:p>
      <w:pPr>
        <w:pStyle w:val="2"/>
        <w:tabs>
          <w:tab w:val="left" w:pos="0"/>
        </w:tabs>
        <w:snapToGrid w:val="0"/>
        <w:spacing w:line="360" w:lineRule="auto"/>
        <w:ind w:left="0" w:firstLine="480" w:firstLineChars="200"/>
        <w:jc w:val="both"/>
        <w:rPr>
          <w:rFonts w:hint="eastAsia" w:ascii="宋体" w:hAnsi="宋体" w:eastAsia="宋体" w:cs="宋体"/>
          <w:sz w:val="24"/>
          <w:lang w:eastAsia="zh-CN"/>
        </w:rPr>
      </w:pPr>
      <w:r>
        <w:rPr>
          <w:rFonts w:hint="eastAsia" w:ascii="宋体" w:hAnsi="宋体" w:eastAsia="宋体" w:cs="宋体"/>
          <w:sz w:val="24"/>
        </w:rPr>
        <w:t>上述组成合同的文件互相补充和解释，但在有含意不清或有矛盾时，除非合同中有特殊说明，以合同约定次序在先者为准</w:t>
      </w:r>
      <w:r>
        <w:rPr>
          <w:rFonts w:hint="eastAsia" w:ascii="宋体" w:hAnsi="宋体" w:eastAsia="宋体" w:cs="宋体"/>
          <w:sz w:val="24"/>
          <w:lang w:eastAsia="zh-CN"/>
        </w:rPr>
        <w:t>。</w:t>
      </w:r>
    </w:p>
    <w:p>
      <w:pPr>
        <w:pStyle w:val="7"/>
        <w:spacing w:before="40" w:after="40"/>
        <w:rPr>
          <w:rFonts w:ascii="Times New Roman" w:hAnsi="Times New Roman"/>
          <w:b w:val="0"/>
          <w:sz w:val="24"/>
          <w:szCs w:val="24"/>
        </w:rPr>
      </w:pPr>
      <w:r>
        <w:rPr>
          <w:rFonts w:ascii="Times New Roman" w:hAnsi="宋体"/>
          <w:b w:val="0"/>
          <w:sz w:val="24"/>
          <w:szCs w:val="24"/>
        </w:rPr>
        <w:t>四、服务费</w:t>
      </w:r>
    </w:p>
    <w:p>
      <w:pPr>
        <w:spacing w:line="360" w:lineRule="auto"/>
        <w:ind w:firstLine="480" w:firstLineChars="200"/>
        <w:rPr>
          <w:rFonts w:ascii="宋体" w:hAnsi="宋体" w:cs="宋体"/>
          <w:sz w:val="28"/>
          <w:szCs w:val="28"/>
        </w:rPr>
      </w:pPr>
      <w:r>
        <w:rPr>
          <w:rFonts w:ascii="宋体" w:hAnsi="宋体" w:eastAsia="宋体" w:cs="宋体"/>
          <w:lang w:val="zh-CN"/>
        </w:rPr>
        <w:t>本合同</w:t>
      </w:r>
      <w:r>
        <w:rPr>
          <w:rFonts w:hint="eastAsia" w:ascii="宋体" w:hAnsi="宋体" w:eastAsia="宋体" w:cs="宋体"/>
          <w:lang w:val="zh-CN"/>
        </w:rPr>
        <w:t>不含税价格</w:t>
      </w:r>
      <w:r>
        <w:rPr>
          <w:rFonts w:hint="eastAsia" w:ascii="宋体" w:hAnsi="宋体" w:eastAsia="宋体" w:cs="宋体"/>
        </w:rPr>
        <w:t>为固定合同</w:t>
      </w:r>
      <w:r>
        <w:rPr>
          <w:rFonts w:hint="eastAsia" w:ascii="宋体" w:hAnsi="宋体" w:eastAsia="宋体" w:cs="宋体"/>
          <w:lang w:eastAsia="zh-CN"/>
        </w:rPr>
        <w:t>价。</w:t>
      </w:r>
      <w:r>
        <w:rPr>
          <w:rFonts w:hint="eastAsia" w:hAnsi="宋体" w:eastAsia="宋体"/>
        </w:rPr>
        <w:t>合同总价款（含税）</w:t>
      </w:r>
      <w:r>
        <w:rPr>
          <w:rFonts w:hAnsi="宋体" w:eastAsia="宋体"/>
        </w:rPr>
        <w:t>为</w:t>
      </w:r>
      <w:r>
        <w:rPr>
          <w:rFonts w:hint="eastAsia" w:hAnsi="宋体" w:eastAsia="宋体"/>
        </w:rPr>
        <w:t>：</w:t>
      </w:r>
      <w:r>
        <w:rPr>
          <w:rFonts w:hAnsi="宋体" w:eastAsia="宋体"/>
        </w:rPr>
        <w:t>人民币</w:t>
      </w:r>
      <w:r>
        <w:rPr>
          <w:rFonts w:hint="eastAsia" w:hAnsi="宋体" w:eastAsia="宋体"/>
        </w:rPr>
        <w:t>（小写）</w:t>
      </w:r>
      <w:r>
        <w:rPr>
          <w:rFonts w:eastAsia="宋体"/>
        </w:rPr>
        <w:t>¥</w:t>
      </w:r>
      <w:r>
        <w:rPr>
          <w:rFonts w:hint="eastAsia" w:hAnsi="宋体" w:eastAsia="宋体"/>
          <w:u w:val="single"/>
        </w:rPr>
        <w:t xml:space="preserve">           </w:t>
      </w:r>
      <w:r>
        <w:rPr>
          <w:rFonts w:hAnsi="宋体" w:eastAsia="宋体"/>
        </w:rPr>
        <w:t>元（大写：</w:t>
      </w:r>
      <w:r>
        <w:rPr>
          <w:rFonts w:hint="eastAsia" w:hAnsi="宋体" w:eastAsia="宋体"/>
          <w:u w:val="single"/>
        </w:rPr>
        <w:t xml:space="preserve"> </w:t>
      </w:r>
      <w:r>
        <w:rPr>
          <w:rFonts w:hAnsi="宋体" w:eastAsia="宋体"/>
          <w:u w:val="single"/>
        </w:rPr>
        <w:t xml:space="preserve">     </w:t>
      </w:r>
      <w:r>
        <w:rPr>
          <w:rFonts w:hint="eastAsia" w:hAnsi="宋体" w:eastAsia="宋体"/>
          <w:u w:val="single"/>
        </w:rPr>
        <w:t xml:space="preserve">  </w:t>
      </w:r>
      <w:r>
        <w:rPr>
          <w:rFonts w:hAnsi="宋体" w:eastAsia="宋体"/>
        </w:rPr>
        <w:t>）。其中不含税价格为：</w:t>
      </w:r>
      <w:r>
        <w:rPr>
          <w:rFonts w:hint="eastAsia" w:ascii="宋体" w:hAnsi="宋体" w:eastAsia="宋体" w:cs="宋体"/>
        </w:rPr>
        <w:t>人民币（小写）</w:t>
      </w:r>
      <w:r>
        <w:rPr>
          <w:rFonts w:eastAsia="宋体"/>
        </w:rPr>
        <w:t>¥</w:t>
      </w:r>
      <w:r>
        <w:rPr>
          <w:rFonts w:hint="eastAsia" w:hAnsi="宋体" w:eastAsia="宋体"/>
          <w:u w:val="single"/>
        </w:rPr>
        <w:t xml:space="preserve"> </w:t>
      </w:r>
      <w:r>
        <w:rPr>
          <w:rFonts w:hAnsi="宋体" w:eastAsia="宋体"/>
          <w:u w:val="single"/>
        </w:rPr>
        <w:t xml:space="preserve"> </w:t>
      </w:r>
      <w:r>
        <w:rPr>
          <w:rFonts w:hint="eastAsia" w:hAnsi="宋体" w:eastAsia="宋体"/>
          <w:u w:val="single"/>
        </w:rPr>
        <w:t xml:space="preserve">    </w:t>
      </w:r>
      <w:r>
        <w:rPr>
          <w:rFonts w:hAnsi="宋体" w:eastAsia="宋体"/>
          <w:u w:val="single"/>
        </w:rPr>
        <w:t xml:space="preserve">    </w:t>
      </w:r>
      <w:r>
        <w:rPr>
          <w:rFonts w:hint="eastAsia" w:hAnsi="宋体" w:eastAsia="宋体"/>
        </w:rPr>
        <w:t>（小写）</w:t>
      </w:r>
      <w:r>
        <w:rPr>
          <w:rFonts w:hAnsi="宋体" w:eastAsia="宋体"/>
        </w:rPr>
        <w:t>元</w:t>
      </w:r>
      <w:r>
        <w:rPr>
          <w:rFonts w:hint="eastAsia" w:hAnsi="宋体" w:eastAsia="宋体"/>
        </w:rPr>
        <w:t>，</w:t>
      </w:r>
      <w:r>
        <w:rPr>
          <w:rFonts w:hint="eastAsia" w:ascii="宋体" w:hAnsi="宋体" w:eastAsia="宋体" w:cs="宋体"/>
        </w:rPr>
        <w:t>税金为：人民币（小写）</w:t>
      </w:r>
      <w:r>
        <w:rPr>
          <w:rFonts w:eastAsia="宋体"/>
        </w:rPr>
        <w:t>¥</w:t>
      </w:r>
      <w:r>
        <w:rPr>
          <w:rFonts w:hint="eastAsia" w:eastAsia="宋体"/>
          <w:u w:val="single"/>
        </w:rPr>
        <w:t xml:space="preserve">           </w:t>
      </w:r>
      <w:r>
        <w:rPr>
          <w:rFonts w:hint="eastAsia" w:ascii="宋体" w:hAnsi="宋体" w:eastAsia="宋体" w:cs="宋体"/>
        </w:rPr>
        <w:t>元。</w:t>
      </w:r>
      <w:r>
        <w:rPr>
          <w:rFonts w:hint="eastAsia" w:ascii="宋体" w:hAnsi="宋体" w:eastAsia="宋体" w:cs="宋体"/>
          <w:color w:val="000000"/>
          <w:lang w:val="zh-CN"/>
        </w:rPr>
        <w:t xml:space="preserve"> </w:t>
      </w:r>
      <w:r>
        <w:rPr>
          <w:rFonts w:hint="eastAsia" w:ascii="宋体" w:hAnsi="宋体" w:eastAsia="宋体" w:cs="宋体"/>
          <w:color w:val="000000"/>
          <w:kern w:val="2"/>
          <w:lang w:val="zh-CN"/>
        </w:rPr>
        <w:t>该合同价为乙方完成本合同义务所需的全部费用，包括但不限于前期基础资料收集费、咨询费、制作费、会务费、税金等一切费用。</w:t>
      </w:r>
    </w:p>
    <w:p>
      <w:pPr>
        <w:snapToGrid w:val="0"/>
        <w:spacing w:line="360" w:lineRule="auto"/>
        <w:ind w:firstLine="482" w:firstLineChars="200"/>
        <w:rPr>
          <w:rFonts w:ascii="宋体" w:hAnsi="宋体" w:eastAsia="宋体" w:cs="宋体"/>
          <w:b/>
          <w:bCs/>
          <w:lang w:val="zh-CN"/>
        </w:rPr>
      </w:pPr>
      <w:r>
        <w:rPr>
          <w:rFonts w:ascii="宋体" w:hAnsi="宋体" w:eastAsia="宋体" w:cs="宋体"/>
          <w:b/>
          <w:bCs/>
          <w:lang w:val="zh-CN"/>
        </w:rPr>
        <w:t>本合同约定价格为含税价格，不含税价格部分不因市场价格变化而变化，</w:t>
      </w:r>
      <w:r>
        <w:rPr>
          <w:rFonts w:ascii="宋体" w:hAnsi="宋体" w:eastAsia="宋体" w:cs="宋体"/>
          <w:b/>
          <w:bCs/>
          <w:kern w:val="2"/>
          <w:lang w:val="zh-CN"/>
        </w:rPr>
        <w:t>在合同履行期间，如遇国家的税率调整，则价税合计的价格应相应调整，以开具发票的时间为准。</w:t>
      </w:r>
    </w:p>
    <w:p>
      <w:pPr>
        <w:pStyle w:val="2"/>
        <w:tabs>
          <w:tab w:val="left" w:pos="0"/>
        </w:tabs>
        <w:spacing w:line="360" w:lineRule="auto"/>
        <w:ind w:left="0" w:firstLine="480" w:firstLineChars="200"/>
        <w:jc w:val="both"/>
        <w:rPr>
          <w:rFonts w:ascii="Times New Roman" w:eastAsia="宋体" w:cs="Times New Roman"/>
          <w:sz w:val="24"/>
          <w:szCs w:val="24"/>
        </w:rPr>
      </w:pPr>
    </w:p>
    <w:p>
      <w:pPr>
        <w:pStyle w:val="2"/>
        <w:tabs>
          <w:tab w:val="left" w:pos="0"/>
        </w:tabs>
        <w:spacing w:line="360" w:lineRule="auto"/>
        <w:ind w:left="0" w:firstLine="480" w:firstLineChars="200"/>
        <w:jc w:val="both"/>
        <w:rPr>
          <w:rFonts w:ascii="Times New Roman" w:eastAsia="宋体" w:cs="Times New Roman"/>
          <w:sz w:val="24"/>
          <w:szCs w:val="24"/>
        </w:rPr>
      </w:pPr>
      <w:r>
        <w:rPr>
          <w:rFonts w:hint="eastAsia" w:ascii="Times New Roman" w:hAnsi="宋体" w:eastAsia="宋体" w:cs="Times New Roman"/>
          <w:sz w:val="24"/>
          <w:szCs w:val="24"/>
        </w:rPr>
        <w:t>甲方</w:t>
      </w:r>
      <w:r>
        <w:rPr>
          <w:rFonts w:ascii="Times New Roman" w:hAnsi="宋体" w:eastAsia="宋体" w:cs="Times New Roman"/>
          <w:sz w:val="24"/>
          <w:szCs w:val="24"/>
        </w:rPr>
        <w:t>一般纳税人增值税专票信息</w:t>
      </w:r>
      <w:r>
        <w:rPr>
          <w:rFonts w:ascii="Times New Roman" w:eastAsia="宋体" w:cs="Times New Roman"/>
          <w:sz w:val="24"/>
          <w:szCs w:val="24"/>
        </w:rPr>
        <w:t>:</w:t>
      </w:r>
    </w:p>
    <w:p>
      <w:pPr>
        <w:pStyle w:val="2"/>
        <w:tabs>
          <w:tab w:val="left" w:pos="0"/>
        </w:tabs>
        <w:spacing w:line="360" w:lineRule="auto"/>
        <w:ind w:left="0" w:firstLine="480" w:firstLineChars="200"/>
        <w:jc w:val="both"/>
        <w:rPr>
          <w:rFonts w:ascii="Times New Roman" w:eastAsia="宋体" w:cs="Times New Roman"/>
          <w:sz w:val="24"/>
          <w:szCs w:val="24"/>
          <w:u w:val="single"/>
        </w:rPr>
      </w:pPr>
      <w:r>
        <w:rPr>
          <w:rFonts w:ascii="Times New Roman" w:hAnsi="宋体" w:eastAsia="宋体" w:cs="Times New Roman"/>
          <w:sz w:val="24"/>
          <w:szCs w:val="24"/>
        </w:rPr>
        <w:t>单位名称：</w:t>
      </w:r>
      <w:r>
        <w:rPr>
          <w:rFonts w:ascii="Times New Roman" w:hAnsi="宋体" w:eastAsia="宋体" w:cs="Times New Roman"/>
          <w:sz w:val="24"/>
          <w:szCs w:val="24"/>
          <w:u w:val="single"/>
        </w:rPr>
        <w:t>四川省能投攀枝花水电开发有限公司</w:t>
      </w:r>
    </w:p>
    <w:p>
      <w:pPr>
        <w:pStyle w:val="2"/>
        <w:tabs>
          <w:tab w:val="left" w:pos="0"/>
        </w:tabs>
        <w:spacing w:line="360" w:lineRule="auto"/>
        <w:ind w:left="0" w:firstLine="480" w:firstLineChars="200"/>
        <w:jc w:val="both"/>
        <w:rPr>
          <w:rFonts w:ascii="Times New Roman" w:eastAsia="宋体" w:cs="Times New Roman"/>
          <w:sz w:val="24"/>
          <w:szCs w:val="24"/>
        </w:rPr>
      </w:pPr>
      <w:r>
        <w:rPr>
          <w:rFonts w:ascii="Times New Roman" w:hAnsi="宋体" w:eastAsia="宋体" w:cs="Times New Roman"/>
          <w:sz w:val="24"/>
          <w:szCs w:val="24"/>
        </w:rPr>
        <w:t>纳税人识别号（统一社会信用代码）：</w:t>
      </w:r>
      <w:r>
        <w:rPr>
          <w:rFonts w:ascii="Times New Roman" w:eastAsia="宋体" w:cs="Times New Roman"/>
          <w:sz w:val="24"/>
          <w:szCs w:val="24"/>
          <w:u w:val="single"/>
        </w:rPr>
        <w:t>91510403590460698H</w:t>
      </w:r>
    </w:p>
    <w:p>
      <w:pPr>
        <w:pStyle w:val="2"/>
        <w:tabs>
          <w:tab w:val="left" w:pos="0"/>
        </w:tabs>
        <w:spacing w:line="360" w:lineRule="auto"/>
        <w:ind w:left="0" w:firstLine="480" w:firstLineChars="200"/>
        <w:jc w:val="both"/>
        <w:rPr>
          <w:rFonts w:ascii="Times New Roman" w:eastAsia="宋体" w:cs="Times New Roman"/>
          <w:sz w:val="24"/>
          <w:szCs w:val="24"/>
          <w:u w:val="single"/>
        </w:rPr>
      </w:pPr>
      <w:r>
        <w:rPr>
          <w:rFonts w:ascii="Times New Roman" w:hAnsi="宋体" w:eastAsia="宋体" w:cs="Times New Roman"/>
          <w:sz w:val="24"/>
          <w:szCs w:val="24"/>
        </w:rPr>
        <w:t>单位地址：</w:t>
      </w:r>
      <w:r>
        <w:rPr>
          <w:rFonts w:ascii="Times New Roman" w:hAnsi="宋体" w:eastAsia="宋体" w:cs="Times New Roman"/>
          <w:sz w:val="24"/>
          <w:szCs w:val="24"/>
          <w:u w:val="single"/>
        </w:rPr>
        <w:t>四川省攀枝花市西区建福巷</w:t>
      </w:r>
      <w:r>
        <w:rPr>
          <w:rFonts w:ascii="Times New Roman" w:eastAsia="宋体" w:cs="Times New Roman"/>
          <w:sz w:val="24"/>
          <w:szCs w:val="24"/>
          <w:u w:val="single"/>
        </w:rPr>
        <w:t>88</w:t>
      </w:r>
      <w:r>
        <w:rPr>
          <w:rFonts w:ascii="Times New Roman" w:hAnsi="宋体" w:eastAsia="宋体" w:cs="Times New Roman"/>
          <w:sz w:val="24"/>
          <w:szCs w:val="24"/>
          <w:u w:val="single"/>
        </w:rPr>
        <w:t>号</w:t>
      </w:r>
      <w:r>
        <w:rPr>
          <w:rFonts w:ascii="Times New Roman" w:hAnsi="宋体" w:eastAsia="宋体" w:cs="Times New Roman"/>
          <w:sz w:val="24"/>
          <w:szCs w:val="24"/>
        </w:rPr>
        <w:t>电话：</w:t>
      </w:r>
      <w:r>
        <w:rPr>
          <w:rFonts w:ascii="Times New Roman" w:eastAsia="宋体" w:cs="Times New Roman"/>
          <w:sz w:val="24"/>
          <w:szCs w:val="24"/>
          <w:u w:val="single"/>
        </w:rPr>
        <w:t>0812-5181185</w:t>
      </w:r>
    </w:p>
    <w:p>
      <w:pPr>
        <w:pStyle w:val="2"/>
        <w:tabs>
          <w:tab w:val="left" w:pos="0"/>
        </w:tabs>
        <w:spacing w:line="360" w:lineRule="auto"/>
        <w:ind w:left="0" w:firstLine="480" w:firstLineChars="200"/>
        <w:jc w:val="both"/>
        <w:rPr>
          <w:rFonts w:ascii="Times New Roman" w:eastAsia="宋体" w:cs="Times New Roman"/>
          <w:sz w:val="24"/>
          <w:szCs w:val="24"/>
          <w:u w:val="single"/>
        </w:rPr>
      </w:pPr>
      <w:r>
        <w:rPr>
          <w:rFonts w:ascii="Times New Roman" w:hAnsi="宋体" w:eastAsia="宋体" w:cs="Times New Roman"/>
          <w:sz w:val="24"/>
          <w:szCs w:val="24"/>
        </w:rPr>
        <w:t>开户行：</w:t>
      </w:r>
      <w:r>
        <w:rPr>
          <w:rFonts w:ascii="Times New Roman" w:hAnsi="宋体" w:eastAsia="宋体" w:cs="Times New Roman"/>
          <w:sz w:val="24"/>
          <w:szCs w:val="24"/>
          <w:u w:val="single"/>
        </w:rPr>
        <w:t>中国建设银行攀枝花市河门口支行</w:t>
      </w:r>
      <w:r>
        <w:rPr>
          <w:rFonts w:ascii="Times New Roman" w:eastAsia="宋体" w:cs="Times New Roman"/>
          <w:sz w:val="24"/>
          <w:szCs w:val="24"/>
        </w:rPr>
        <w:tab/>
      </w:r>
      <w:r>
        <w:rPr>
          <w:rFonts w:ascii="Times New Roman" w:hAnsi="宋体" w:eastAsia="宋体" w:cs="Times New Roman"/>
          <w:sz w:val="24"/>
          <w:szCs w:val="24"/>
        </w:rPr>
        <w:t>账号：</w:t>
      </w:r>
      <w:r>
        <w:rPr>
          <w:rFonts w:ascii="Times New Roman" w:eastAsia="宋体" w:cs="Times New Roman"/>
          <w:sz w:val="24"/>
          <w:szCs w:val="24"/>
          <w:u w:val="single"/>
        </w:rPr>
        <w:t>51001627438059555666</w:t>
      </w:r>
    </w:p>
    <w:p>
      <w:pPr>
        <w:pStyle w:val="7"/>
        <w:spacing w:before="40" w:after="40"/>
        <w:rPr>
          <w:rFonts w:ascii="Times New Roman" w:hAnsi="Times New Roman"/>
          <w:b w:val="0"/>
          <w:sz w:val="24"/>
          <w:szCs w:val="24"/>
        </w:rPr>
      </w:pPr>
      <w:r>
        <w:rPr>
          <w:rFonts w:ascii="Times New Roman" w:hAnsi="宋体"/>
          <w:b w:val="0"/>
          <w:sz w:val="24"/>
          <w:szCs w:val="24"/>
        </w:rPr>
        <w:t>五、计量支付</w:t>
      </w:r>
    </w:p>
    <w:p>
      <w:pPr>
        <w:tabs>
          <w:tab w:val="left" w:pos="857"/>
        </w:tabs>
        <w:adjustRightInd/>
        <w:spacing w:line="360" w:lineRule="auto"/>
        <w:ind w:firstLine="480" w:firstLineChars="200"/>
        <w:jc w:val="both"/>
        <w:rPr>
          <w:rFonts w:eastAsia="宋体"/>
          <w:bCs/>
        </w:rPr>
      </w:pPr>
      <w:r>
        <w:rPr>
          <w:rFonts w:eastAsia="宋体"/>
          <w:bCs/>
        </w:rPr>
        <w:t xml:space="preserve">5.1 </w:t>
      </w:r>
      <w:r>
        <w:rPr>
          <w:rFonts w:hint="eastAsia" w:eastAsia="宋体"/>
          <w:bCs/>
          <w:lang w:eastAsia="zh-CN"/>
        </w:rPr>
        <w:t>本合同项下服务费分三次支付，</w:t>
      </w:r>
      <w:r>
        <w:rPr>
          <w:rFonts w:hAnsi="宋体" w:eastAsia="宋体"/>
          <w:bCs/>
        </w:rPr>
        <w:t>具体如下：</w:t>
      </w:r>
    </w:p>
    <w:p>
      <w:pPr>
        <w:pStyle w:val="2"/>
        <w:tabs>
          <w:tab w:val="left" w:pos="0"/>
        </w:tabs>
        <w:adjustRightInd/>
        <w:spacing w:line="360" w:lineRule="auto"/>
        <w:ind w:left="0" w:firstLine="480" w:firstLineChars="200"/>
        <w:jc w:val="both"/>
        <w:rPr>
          <w:rFonts w:ascii="Times New Roman" w:eastAsia="宋体" w:cs="Times New Roman"/>
          <w:sz w:val="24"/>
          <w:szCs w:val="24"/>
        </w:rPr>
      </w:pPr>
      <w:r>
        <w:rPr>
          <w:rFonts w:ascii="Times New Roman" w:hAnsi="宋体" w:eastAsia="宋体" w:cs="Times New Roman"/>
          <w:sz w:val="24"/>
          <w:szCs w:val="24"/>
        </w:rPr>
        <w:t>（</w:t>
      </w:r>
      <w:r>
        <w:rPr>
          <w:rFonts w:ascii="Times New Roman" w:eastAsia="宋体" w:cs="Times New Roman"/>
          <w:sz w:val="24"/>
          <w:szCs w:val="24"/>
        </w:rPr>
        <w:t>1</w:t>
      </w:r>
      <w:r>
        <w:rPr>
          <w:rFonts w:ascii="Times New Roman" w:hAnsi="宋体" w:eastAsia="宋体" w:cs="Times New Roman"/>
          <w:sz w:val="24"/>
          <w:szCs w:val="24"/>
        </w:rPr>
        <w:t>）在签订合同之日起</w:t>
      </w:r>
      <w:r>
        <w:rPr>
          <w:rFonts w:ascii="Times New Roman" w:eastAsia="宋体" w:cs="Times New Roman"/>
          <w:sz w:val="24"/>
          <w:szCs w:val="24"/>
          <w:u w:val="single"/>
        </w:rPr>
        <w:t xml:space="preserve"> </w:t>
      </w:r>
      <w:r>
        <w:rPr>
          <w:rFonts w:hint="eastAsia" w:ascii="Times New Roman" w:eastAsia="宋体" w:cs="Times New Roman"/>
          <w:sz w:val="24"/>
          <w:szCs w:val="24"/>
          <w:u w:val="single"/>
        </w:rPr>
        <w:t xml:space="preserve"> </w:t>
      </w:r>
      <w:r>
        <w:rPr>
          <w:rFonts w:ascii="Times New Roman" w:eastAsia="宋体" w:cs="Times New Roman"/>
          <w:sz w:val="24"/>
          <w:szCs w:val="24"/>
          <w:u w:val="single"/>
        </w:rPr>
        <w:t>60</w:t>
      </w:r>
      <w:r>
        <w:rPr>
          <w:rFonts w:hint="eastAsia" w:ascii="Times New Roman" w:eastAsia="宋体" w:cs="Times New Roman"/>
          <w:sz w:val="24"/>
          <w:szCs w:val="24"/>
          <w:u w:val="single"/>
        </w:rPr>
        <w:t xml:space="preserve">  </w:t>
      </w:r>
      <w:r>
        <w:rPr>
          <w:rFonts w:ascii="Times New Roman" w:hAnsi="宋体" w:eastAsia="宋体" w:cs="Times New Roman"/>
          <w:sz w:val="24"/>
          <w:szCs w:val="24"/>
        </w:rPr>
        <w:t>日内，</w:t>
      </w:r>
      <w:r>
        <w:rPr>
          <w:rFonts w:hint="eastAsia" w:ascii="Times New Roman" w:hAnsi="宋体" w:eastAsia="宋体" w:cs="Times New Roman"/>
          <w:sz w:val="24"/>
          <w:szCs w:val="24"/>
        </w:rPr>
        <w:t>甲方</w:t>
      </w:r>
      <w:r>
        <w:rPr>
          <w:rFonts w:ascii="Times New Roman" w:hAnsi="宋体" w:eastAsia="宋体" w:cs="Times New Roman"/>
          <w:sz w:val="24"/>
          <w:szCs w:val="24"/>
        </w:rPr>
        <w:t>向</w:t>
      </w:r>
      <w:r>
        <w:rPr>
          <w:rFonts w:hint="eastAsia" w:ascii="Times New Roman" w:hAnsi="宋体" w:eastAsia="宋体" w:cs="Times New Roman"/>
          <w:sz w:val="24"/>
          <w:szCs w:val="24"/>
        </w:rPr>
        <w:t>乙方</w:t>
      </w:r>
      <w:r>
        <w:rPr>
          <w:rFonts w:ascii="Times New Roman" w:hAnsi="宋体" w:eastAsia="宋体" w:cs="Times New Roman"/>
          <w:sz w:val="24"/>
          <w:szCs w:val="24"/>
        </w:rPr>
        <w:t>支付</w:t>
      </w:r>
      <w:r>
        <w:rPr>
          <w:rFonts w:hint="eastAsia" w:ascii="Times New Roman" w:hAnsi="宋体" w:eastAsia="宋体" w:cs="Times New Roman"/>
          <w:sz w:val="24"/>
          <w:szCs w:val="24"/>
        </w:rPr>
        <w:t>技术</w:t>
      </w:r>
      <w:r>
        <w:rPr>
          <w:rFonts w:ascii="Times New Roman" w:hAnsi="宋体" w:eastAsia="宋体" w:cs="Times New Roman"/>
          <w:sz w:val="24"/>
          <w:szCs w:val="24"/>
        </w:rPr>
        <w:t>服务启动资金，为服务费用总额的</w:t>
      </w:r>
      <w:r>
        <w:rPr>
          <w:rFonts w:hint="eastAsia" w:ascii="Times New Roman" w:hAnsi="宋体" w:eastAsia="宋体" w:cs="Times New Roman"/>
          <w:sz w:val="24"/>
          <w:szCs w:val="24"/>
          <w:u w:val="single"/>
        </w:rPr>
        <w:t xml:space="preserve">  </w:t>
      </w:r>
      <w:r>
        <w:rPr>
          <w:rFonts w:ascii="Times New Roman" w:eastAsia="宋体" w:cs="Times New Roman"/>
          <w:sz w:val="24"/>
          <w:szCs w:val="24"/>
          <w:u w:val="single"/>
        </w:rPr>
        <w:t>30%</w:t>
      </w:r>
      <w:r>
        <w:rPr>
          <w:rFonts w:hint="eastAsia" w:ascii="Times New Roman" w:eastAsia="宋体" w:cs="Times New Roman"/>
          <w:sz w:val="24"/>
          <w:szCs w:val="24"/>
          <w:u w:val="single"/>
        </w:rPr>
        <w:t xml:space="preserve">  </w:t>
      </w:r>
      <w:r>
        <w:rPr>
          <w:rFonts w:ascii="Times New Roman" w:hAnsi="宋体" w:eastAsia="宋体" w:cs="Times New Roman"/>
          <w:sz w:val="24"/>
          <w:szCs w:val="24"/>
        </w:rPr>
        <w:t>进度款。</w:t>
      </w:r>
    </w:p>
    <w:p>
      <w:pPr>
        <w:pStyle w:val="2"/>
        <w:tabs>
          <w:tab w:val="left" w:pos="0"/>
        </w:tabs>
        <w:adjustRightInd/>
        <w:spacing w:line="360" w:lineRule="auto"/>
        <w:ind w:left="0" w:firstLine="480" w:firstLineChars="200"/>
        <w:jc w:val="both"/>
        <w:rPr>
          <w:rFonts w:ascii="Times New Roman" w:eastAsia="宋体" w:cs="Times New Roman"/>
          <w:sz w:val="24"/>
          <w:szCs w:val="24"/>
        </w:rPr>
      </w:pPr>
      <w:r>
        <w:rPr>
          <w:rFonts w:ascii="Times New Roman" w:hAnsi="宋体" w:eastAsia="宋体" w:cs="Times New Roman"/>
          <w:sz w:val="24"/>
          <w:szCs w:val="24"/>
        </w:rPr>
        <w:t>（</w:t>
      </w:r>
      <w:r>
        <w:rPr>
          <w:rFonts w:ascii="Times New Roman" w:eastAsia="宋体" w:cs="Times New Roman"/>
          <w:sz w:val="24"/>
          <w:szCs w:val="24"/>
        </w:rPr>
        <w:t>2</w:t>
      </w:r>
      <w:r>
        <w:rPr>
          <w:rFonts w:ascii="Times New Roman" w:hAnsi="宋体" w:eastAsia="宋体" w:cs="Times New Roman"/>
          <w:spacing w:val="-3"/>
          <w:sz w:val="24"/>
          <w:szCs w:val="24"/>
        </w:rPr>
        <w:t>）</w:t>
      </w:r>
      <w:r>
        <w:rPr>
          <w:rFonts w:hint="eastAsia" w:ascii="Times New Roman" w:hAnsi="宋体" w:eastAsia="宋体" w:cs="Times New Roman"/>
          <w:sz w:val="24"/>
          <w:szCs w:val="24"/>
        </w:rPr>
        <w:t>乙方</w:t>
      </w:r>
      <w:r>
        <w:rPr>
          <w:rFonts w:ascii="Times New Roman" w:hAnsi="宋体" w:eastAsia="宋体" w:cs="Times New Roman"/>
          <w:spacing w:val="-2"/>
          <w:sz w:val="24"/>
          <w:szCs w:val="24"/>
        </w:rPr>
        <w:t>完</w:t>
      </w:r>
      <w:r>
        <w:rPr>
          <w:rFonts w:ascii="Times New Roman" w:hAnsi="宋体" w:eastAsia="宋体" w:cs="Times New Roman"/>
          <w:spacing w:val="-3"/>
          <w:sz w:val="24"/>
          <w:szCs w:val="24"/>
        </w:rPr>
        <w:t>成</w:t>
      </w:r>
      <w:r>
        <w:rPr>
          <w:rFonts w:ascii="Times New Roman" w:hAnsi="宋体" w:eastAsia="宋体" w:cs="Times New Roman"/>
          <w:sz w:val="24"/>
          <w:szCs w:val="24"/>
        </w:rPr>
        <w:t>《金沙江金沙水电站竣工环境保护验收</w:t>
      </w:r>
      <w:r>
        <w:rPr>
          <w:rFonts w:hint="eastAsia" w:ascii="Times New Roman" w:hAnsi="宋体" w:eastAsia="宋体" w:cs="Times New Roman"/>
          <w:sz w:val="24"/>
          <w:szCs w:val="24"/>
        </w:rPr>
        <w:t>调查</w:t>
      </w:r>
      <w:r>
        <w:rPr>
          <w:rFonts w:ascii="Times New Roman" w:hAnsi="宋体" w:eastAsia="宋体" w:cs="Times New Roman"/>
          <w:sz w:val="24"/>
          <w:szCs w:val="24"/>
        </w:rPr>
        <w:t>报告》</w:t>
      </w:r>
      <w:r>
        <w:rPr>
          <w:rFonts w:hint="eastAsia" w:ascii="Times New Roman" w:hAnsi="宋体" w:eastAsia="宋体" w:cs="Times New Roman"/>
          <w:sz w:val="24"/>
          <w:szCs w:val="24"/>
        </w:rPr>
        <w:t>《金沙江金沙水电站运行期陆生生态调查与评价报告》</w:t>
      </w:r>
      <w:r>
        <w:rPr>
          <w:rFonts w:ascii="Times New Roman" w:hAnsi="宋体" w:eastAsia="宋体" w:cs="Times New Roman"/>
          <w:sz w:val="24"/>
          <w:szCs w:val="24"/>
        </w:rPr>
        <w:t>，送交</w:t>
      </w:r>
      <w:r>
        <w:rPr>
          <w:rFonts w:hint="eastAsia" w:ascii="Times New Roman" w:hAnsi="宋体" w:eastAsia="宋体" w:cs="Times New Roman"/>
          <w:sz w:val="24"/>
          <w:szCs w:val="24"/>
        </w:rPr>
        <w:t>甲方</w:t>
      </w:r>
      <w:r>
        <w:rPr>
          <w:rFonts w:ascii="Times New Roman" w:hAnsi="宋体" w:eastAsia="宋体" w:cs="Times New Roman"/>
          <w:sz w:val="24"/>
          <w:szCs w:val="24"/>
        </w:rPr>
        <w:t>确认</w:t>
      </w:r>
      <w:r>
        <w:rPr>
          <w:rFonts w:hint="eastAsia" w:ascii="Times New Roman" w:hAnsi="宋体" w:eastAsia="宋体" w:cs="Times New Roman"/>
          <w:sz w:val="24"/>
          <w:szCs w:val="24"/>
        </w:rPr>
        <w:t>（通过）</w:t>
      </w:r>
      <w:r>
        <w:rPr>
          <w:rFonts w:ascii="Times New Roman" w:hAnsi="宋体" w:eastAsia="宋体" w:cs="Times New Roman"/>
          <w:spacing w:val="-1"/>
          <w:sz w:val="24"/>
          <w:szCs w:val="24"/>
        </w:rPr>
        <w:t>后</w:t>
      </w:r>
      <w:r>
        <w:rPr>
          <w:rFonts w:hint="eastAsia" w:ascii="Times New Roman" w:hAnsi="宋体" w:eastAsia="宋体" w:cs="Times New Roman"/>
          <w:spacing w:val="-1"/>
          <w:sz w:val="24"/>
          <w:szCs w:val="24"/>
        </w:rPr>
        <w:t xml:space="preserve"> </w:t>
      </w:r>
      <w:r>
        <w:rPr>
          <w:rFonts w:ascii="Times New Roman" w:eastAsia="宋体" w:cs="Times New Roman"/>
          <w:spacing w:val="-1"/>
          <w:sz w:val="24"/>
          <w:szCs w:val="24"/>
        </w:rPr>
        <w:t>7</w:t>
      </w:r>
      <w:r>
        <w:rPr>
          <w:rFonts w:hint="eastAsia" w:ascii="Times New Roman" w:eastAsia="宋体" w:cs="Times New Roman"/>
          <w:spacing w:val="-1"/>
          <w:sz w:val="24"/>
          <w:szCs w:val="24"/>
        </w:rPr>
        <w:t xml:space="preserve"> </w:t>
      </w:r>
      <w:r>
        <w:rPr>
          <w:rFonts w:ascii="Times New Roman" w:hAnsi="宋体" w:eastAsia="宋体" w:cs="Times New Roman"/>
          <w:sz w:val="24"/>
          <w:szCs w:val="24"/>
        </w:rPr>
        <w:t>日内</w:t>
      </w:r>
      <w:r>
        <w:rPr>
          <w:rFonts w:ascii="Times New Roman" w:hAnsi="宋体" w:eastAsia="宋体" w:cs="Times New Roman"/>
          <w:spacing w:val="-3"/>
          <w:sz w:val="24"/>
          <w:szCs w:val="24"/>
        </w:rPr>
        <w:t>，</w:t>
      </w:r>
      <w:r>
        <w:rPr>
          <w:rFonts w:hint="eastAsia" w:ascii="Times New Roman" w:hAnsi="宋体" w:eastAsia="宋体" w:cs="Times New Roman"/>
          <w:sz w:val="24"/>
          <w:szCs w:val="24"/>
        </w:rPr>
        <w:t>甲方</w:t>
      </w:r>
      <w:r>
        <w:rPr>
          <w:rFonts w:ascii="Times New Roman" w:hAnsi="宋体" w:eastAsia="宋体" w:cs="Times New Roman"/>
          <w:sz w:val="24"/>
          <w:szCs w:val="24"/>
        </w:rPr>
        <w:t>向</w:t>
      </w:r>
      <w:r>
        <w:rPr>
          <w:rFonts w:hint="eastAsia" w:ascii="Times New Roman" w:hAnsi="宋体" w:eastAsia="宋体" w:cs="Times New Roman"/>
          <w:sz w:val="24"/>
          <w:szCs w:val="24"/>
        </w:rPr>
        <w:t>乙方</w:t>
      </w:r>
      <w:r>
        <w:rPr>
          <w:rFonts w:ascii="Times New Roman" w:hAnsi="宋体" w:eastAsia="宋体" w:cs="Times New Roman"/>
          <w:sz w:val="24"/>
          <w:szCs w:val="24"/>
        </w:rPr>
        <w:t>支付服务费用总额的</w:t>
      </w:r>
      <w:r>
        <w:rPr>
          <w:rFonts w:hint="eastAsia" w:ascii="Times New Roman" w:hAnsi="宋体" w:eastAsia="宋体" w:cs="Times New Roman"/>
          <w:sz w:val="24"/>
          <w:szCs w:val="24"/>
          <w:u w:val="single"/>
        </w:rPr>
        <w:t xml:space="preserve">  </w:t>
      </w:r>
      <w:r>
        <w:rPr>
          <w:rFonts w:ascii="Times New Roman" w:eastAsia="宋体" w:cs="Times New Roman"/>
          <w:sz w:val="24"/>
          <w:szCs w:val="24"/>
          <w:u w:val="single"/>
        </w:rPr>
        <w:t>40%</w:t>
      </w:r>
      <w:r>
        <w:rPr>
          <w:rFonts w:hint="eastAsia" w:ascii="Times New Roman" w:eastAsia="宋体" w:cs="Times New Roman"/>
          <w:sz w:val="24"/>
          <w:szCs w:val="24"/>
          <w:u w:val="single"/>
        </w:rPr>
        <w:t xml:space="preserve">  </w:t>
      </w:r>
      <w:r>
        <w:rPr>
          <w:rFonts w:ascii="Times New Roman" w:hAnsi="宋体" w:eastAsia="宋体" w:cs="Times New Roman"/>
          <w:sz w:val="24"/>
          <w:szCs w:val="24"/>
        </w:rPr>
        <w:t>进</w:t>
      </w:r>
      <w:r>
        <w:rPr>
          <w:rFonts w:ascii="Times New Roman" w:hAnsi="宋体" w:eastAsia="宋体" w:cs="Times New Roman"/>
          <w:spacing w:val="-2"/>
          <w:sz w:val="24"/>
          <w:szCs w:val="24"/>
        </w:rPr>
        <w:t>度</w:t>
      </w:r>
      <w:r>
        <w:rPr>
          <w:rFonts w:ascii="Times New Roman" w:hAnsi="宋体" w:eastAsia="宋体" w:cs="Times New Roman"/>
          <w:sz w:val="24"/>
          <w:szCs w:val="24"/>
        </w:rPr>
        <w:t>款。</w:t>
      </w:r>
    </w:p>
    <w:p>
      <w:pPr>
        <w:pStyle w:val="2"/>
        <w:tabs>
          <w:tab w:val="left" w:pos="0"/>
        </w:tabs>
        <w:adjustRightInd/>
        <w:spacing w:line="360" w:lineRule="auto"/>
        <w:ind w:left="0" w:firstLine="488" w:firstLineChars="200"/>
        <w:jc w:val="both"/>
        <w:rPr>
          <w:rFonts w:ascii="Times New Roman" w:eastAsia="宋体" w:cs="Times New Roman"/>
          <w:sz w:val="24"/>
          <w:szCs w:val="24"/>
        </w:rPr>
      </w:pPr>
      <w:r>
        <w:rPr>
          <w:rFonts w:ascii="Times New Roman" w:hAnsi="宋体" w:eastAsia="宋体" w:cs="Times New Roman"/>
          <w:spacing w:val="2"/>
          <w:sz w:val="24"/>
          <w:szCs w:val="24"/>
        </w:rPr>
        <w:t>（</w:t>
      </w:r>
      <w:r>
        <w:rPr>
          <w:rFonts w:ascii="Times New Roman" w:eastAsia="宋体" w:cs="Times New Roman"/>
          <w:spacing w:val="3"/>
          <w:sz w:val="24"/>
          <w:szCs w:val="24"/>
        </w:rPr>
        <w:t>3</w:t>
      </w:r>
      <w:r>
        <w:rPr>
          <w:rFonts w:ascii="Times New Roman" w:hAnsi="宋体" w:eastAsia="宋体" w:cs="Times New Roman"/>
          <w:spacing w:val="2"/>
          <w:sz w:val="24"/>
          <w:szCs w:val="24"/>
        </w:rPr>
        <w:t>）</w:t>
      </w:r>
      <w:r>
        <w:rPr>
          <w:rFonts w:hint="eastAsia" w:ascii="Times New Roman" w:hAnsi="宋体" w:eastAsia="宋体" w:cs="Times New Roman"/>
          <w:spacing w:val="2"/>
          <w:sz w:val="24"/>
          <w:szCs w:val="24"/>
        </w:rPr>
        <w:t>乙方</w:t>
      </w:r>
      <w:r>
        <w:rPr>
          <w:rFonts w:ascii="Times New Roman" w:hAnsi="宋体" w:eastAsia="宋体" w:cs="Times New Roman"/>
          <w:spacing w:val="1"/>
          <w:sz w:val="24"/>
          <w:szCs w:val="24"/>
        </w:rPr>
        <w:t>通</w:t>
      </w:r>
      <w:r>
        <w:rPr>
          <w:rFonts w:ascii="Times New Roman" w:hAnsi="宋体" w:eastAsia="宋体" w:cs="Times New Roman"/>
          <w:spacing w:val="2"/>
          <w:sz w:val="24"/>
          <w:szCs w:val="24"/>
        </w:rPr>
        <w:t>过</w:t>
      </w:r>
      <w:r>
        <w:rPr>
          <w:rFonts w:hint="eastAsia" w:ascii="Times New Roman" w:hAnsi="宋体" w:eastAsia="宋体" w:cs="Times New Roman"/>
          <w:spacing w:val="1"/>
          <w:sz w:val="24"/>
          <w:szCs w:val="24"/>
        </w:rPr>
        <w:t>甲方</w:t>
      </w:r>
      <w:r>
        <w:rPr>
          <w:rFonts w:ascii="Times New Roman" w:hAnsi="宋体" w:eastAsia="宋体" w:cs="Times New Roman"/>
          <w:spacing w:val="2"/>
          <w:sz w:val="24"/>
          <w:szCs w:val="24"/>
        </w:rPr>
        <w:t>对项目</w:t>
      </w:r>
      <w:r>
        <w:rPr>
          <w:rFonts w:ascii="Times New Roman" w:hAnsi="宋体" w:eastAsia="宋体" w:cs="Times New Roman"/>
          <w:spacing w:val="1"/>
          <w:sz w:val="24"/>
          <w:szCs w:val="24"/>
        </w:rPr>
        <w:t>竣</w:t>
      </w:r>
      <w:r>
        <w:rPr>
          <w:rFonts w:ascii="Times New Roman" w:hAnsi="宋体" w:eastAsia="宋体" w:cs="Times New Roman"/>
          <w:spacing w:val="2"/>
          <w:sz w:val="24"/>
          <w:szCs w:val="24"/>
        </w:rPr>
        <w:t>工</w:t>
      </w:r>
      <w:r>
        <w:rPr>
          <w:rFonts w:hint="eastAsia" w:ascii="Times New Roman" w:hAnsi="宋体" w:eastAsia="宋体" w:cs="Times New Roman"/>
          <w:spacing w:val="1"/>
          <w:sz w:val="24"/>
          <w:szCs w:val="24"/>
        </w:rPr>
        <w:t>环保</w:t>
      </w:r>
      <w:r>
        <w:rPr>
          <w:rFonts w:ascii="Times New Roman" w:hAnsi="宋体" w:eastAsia="宋体" w:cs="Times New Roman"/>
          <w:spacing w:val="2"/>
          <w:sz w:val="24"/>
          <w:szCs w:val="24"/>
        </w:rPr>
        <w:t>验收</w:t>
      </w:r>
      <w:r>
        <w:rPr>
          <w:rFonts w:ascii="Times New Roman" w:hAnsi="宋体" w:eastAsia="宋体" w:cs="Times New Roman"/>
          <w:spacing w:val="1"/>
          <w:sz w:val="24"/>
          <w:szCs w:val="24"/>
        </w:rPr>
        <w:t>相</w:t>
      </w:r>
      <w:r>
        <w:rPr>
          <w:rFonts w:ascii="Times New Roman" w:hAnsi="宋体" w:eastAsia="宋体" w:cs="Times New Roman"/>
          <w:spacing w:val="2"/>
          <w:sz w:val="24"/>
          <w:szCs w:val="24"/>
        </w:rPr>
        <w:t>关工作的</w:t>
      </w:r>
      <w:r>
        <w:rPr>
          <w:rFonts w:ascii="Times New Roman" w:hAnsi="宋体" w:eastAsia="宋体" w:cs="Times New Roman"/>
          <w:spacing w:val="1"/>
          <w:sz w:val="24"/>
          <w:szCs w:val="24"/>
        </w:rPr>
        <w:t>自主验收</w:t>
      </w:r>
      <w:r>
        <w:rPr>
          <w:rFonts w:ascii="Times New Roman" w:hAnsi="宋体" w:eastAsia="宋体" w:cs="Times New Roman"/>
          <w:spacing w:val="2"/>
          <w:sz w:val="24"/>
          <w:szCs w:val="24"/>
        </w:rPr>
        <w:t>，</w:t>
      </w:r>
      <w:r>
        <w:rPr>
          <w:rFonts w:ascii="Times New Roman" w:hAnsi="宋体" w:eastAsia="宋体" w:cs="Times New Roman"/>
          <w:spacing w:val="1"/>
          <w:sz w:val="24"/>
          <w:szCs w:val="24"/>
        </w:rPr>
        <w:t>并配合完成验</w:t>
      </w:r>
      <w:r>
        <w:rPr>
          <w:rFonts w:ascii="Times New Roman" w:hAnsi="宋体" w:eastAsia="宋体" w:cs="Times New Roman"/>
          <w:spacing w:val="2"/>
          <w:sz w:val="24"/>
          <w:szCs w:val="24"/>
        </w:rPr>
        <w:t>收备案</w:t>
      </w:r>
      <w:r>
        <w:rPr>
          <w:rFonts w:ascii="Times New Roman" w:hAnsi="宋体" w:eastAsia="宋体" w:cs="Times New Roman"/>
          <w:spacing w:val="1"/>
          <w:sz w:val="24"/>
          <w:szCs w:val="24"/>
        </w:rPr>
        <w:t>后</w:t>
      </w:r>
      <w:r>
        <w:rPr>
          <w:rFonts w:hint="eastAsia" w:ascii="Times New Roman" w:hAnsi="宋体" w:eastAsia="宋体" w:cs="Times New Roman"/>
          <w:spacing w:val="1"/>
          <w:sz w:val="24"/>
          <w:szCs w:val="24"/>
        </w:rPr>
        <w:t xml:space="preserve"> </w:t>
      </w:r>
      <w:r>
        <w:rPr>
          <w:rFonts w:ascii="Times New Roman" w:eastAsia="宋体" w:cs="Times New Roman"/>
          <w:spacing w:val="1"/>
          <w:sz w:val="24"/>
          <w:szCs w:val="24"/>
        </w:rPr>
        <w:t>7</w:t>
      </w:r>
      <w:r>
        <w:rPr>
          <w:rFonts w:hint="eastAsia" w:ascii="Times New Roman" w:eastAsia="宋体" w:cs="Times New Roman"/>
          <w:spacing w:val="1"/>
          <w:sz w:val="24"/>
          <w:szCs w:val="24"/>
        </w:rPr>
        <w:t xml:space="preserve"> </w:t>
      </w:r>
      <w:r>
        <w:rPr>
          <w:rFonts w:ascii="Times New Roman" w:hAnsi="宋体" w:eastAsia="宋体" w:cs="Times New Roman"/>
          <w:spacing w:val="2"/>
          <w:sz w:val="24"/>
          <w:szCs w:val="24"/>
        </w:rPr>
        <w:t>日内，</w:t>
      </w:r>
      <w:r>
        <w:rPr>
          <w:rFonts w:hint="eastAsia" w:ascii="Times New Roman" w:hAnsi="宋体" w:eastAsia="宋体" w:cs="Times New Roman"/>
          <w:spacing w:val="2"/>
          <w:sz w:val="24"/>
          <w:szCs w:val="24"/>
        </w:rPr>
        <w:t>甲方</w:t>
      </w:r>
      <w:r>
        <w:rPr>
          <w:rFonts w:ascii="Times New Roman" w:hAnsi="宋体" w:eastAsia="宋体" w:cs="Times New Roman"/>
          <w:spacing w:val="2"/>
          <w:sz w:val="24"/>
          <w:szCs w:val="24"/>
        </w:rPr>
        <w:t>向</w:t>
      </w:r>
      <w:r>
        <w:rPr>
          <w:rFonts w:hint="eastAsia" w:ascii="Times New Roman" w:hAnsi="宋体" w:eastAsia="宋体" w:cs="Times New Roman"/>
          <w:spacing w:val="2"/>
          <w:sz w:val="24"/>
          <w:szCs w:val="24"/>
        </w:rPr>
        <w:t>乙方</w:t>
      </w:r>
      <w:r>
        <w:rPr>
          <w:rFonts w:ascii="Times New Roman" w:hAnsi="宋体" w:eastAsia="宋体" w:cs="Times New Roman"/>
          <w:spacing w:val="2"/>
          <w:sz w:val="24"/>
          <w:szCs w:val="24"/>
        </w:rPr>
        <w:t>支</w:t>
      </w:r>
      <w:r>
        <w:rPr>
          <w:rFonts w:ascii="Times New Roman" w:hAnsi="宋体" w:eastAsia="宋体" w:cs="Times New Roman"/>
          <w:spacing w:val="1"/>
          <w:sz w:val="24"/>
          <w:szCs w:val="24"/>
        </w:rPr>
        <w:t>付</w:t>
      </w:r>
      <w:r>
        <w:rPr>
          <w:rFonts w:ascii="Times New Roman" w:hAnsi="宋体" w:eastAsia="宋体" w:cs="Times New Roman"/>
          <w:spacing w:val="2"/>
          <w:sz w:val="24"/>
          <w:szCs w:val="24"/>
        </w:rPr>
        <w:t>全部剩余</w:t>
      </w:r>
      <w:r>
        <w:rPr>
          <w:rFonts w:ascii="Times New Roman" w:hAnsi="宋体" w:eastAsia="宋体" w:cs="Times New Roman"/>
          <w:spacing w:val="1"/>
          <w:sz w:val="24"/>
          <w:szCs w:val="24"/>
        </w:rPr>
        <w:t>费</w:t>
      </w:r>
      <w:r>
        <w:rPr>
          <w:rFonts w:ascii="Times New Roman" w:hAnsi="宋体" w:eastAsia="宋体" w:cs="Times New Roman"/>
          <w:spacing w:val="2"/>
          <w:sz w:val="24"/>
          <w:szCs w:val="24"/>
        </w:rPr>
        <w:t>用</w:t>
      </w:r>
      <w:r>
        <w:rPr>
          <w:rFonts w:ascii="Times New Roman" w:hAnsi="宋体" w:eastAsia="宋体" w:cs="Times New Roman"/>
          <w:sz w:val="24"/>
          <w:szCs w:val="24"/>
        </w:rPr>
        <w:t>。</w:t>
      </w:r>
    </w:p>
    <w:p>
      <w:pPr>
        <w:adjustRightInd/>
        <w:spacing w:line="360" w:lineRule="auto"/>
        <w:ind w:firstLine="488" w:firstLineChars="200"/>
        <w:jc w:val="both"/>
        <w:rPr>
          <w:rFonts w:ascii="宋体" w:hAnsi="宋体" w:eastAsia="宋体" w:cs="宋体"/>
          <w:spacing w:val="2"/>
          <w:kern w:val="2"/>
        </w:rPr>
      </w:pPr>
      <w:r>
        <w:rPr>
          <w:rFonts w:hint="eastAsia" w:ascii="宋体" w:hAnsi="宋体" w:eastAsia="宋体" w:cs="宋体"/>
          <w:spacing w:val="2"/>
          <w:kern w:val="2"/>
        </w:rPr>
        <w:t>5.2发票</w:t>
      </w:r>
    </w:p>
    <w:p>
      <w:pPr>
        <w:adjustRightInd/>
        <w:spacing w:line="360" w:lineRule="auto"/>
        <w:ind w:firstLine="488" w:firstLineChars="200"/>
        <w:jc w:val="both"/>
        <w:rPr>
          <w:rFonts w:ascii="宋体" w:hAnsi="宋体" w:eastAsia="宋体" w:cs="宋体"/>
          <w:spacing w:val="2"/>
        </w:rPr>
      </w:pPr>
      <w:r>
        <w:rPr>
          <w:rFonts w:hint="eastAsia" w:ascii="宋体" w:hAnsi="宋体" w:eastAsia="宋体" w:cs="宋体"/>
          <w:spacing w:val="2"/>
          <w:kern w:val="2"/>
        </w:rPr>
        <w:t>每期款项支付前</w:t>
      </w:r>
      <w:r>
        <w:rPr>
          <w:rFonts w:hint="eastAsia" w:ascii="宋体" w:hAnsi="宋体" w:eastAsia="宋体" w:cs="宋体"/>
          <w:spacing w:val="2"/>
          <w:kern w:val="2"/>
          <w:lang w:eastAsia="zh-CN"/>
        </w:rPr>
        <w:t>提前</w:t>
      </w:r>
      <w:r>
        <w:rPr>
          <w:rFonts w:hint="eastAsia" w:ascii="宋体" w:hAnsi="宋体" w:eastAsia="宋体" w:cs="宋体"/>
          <w:spacing w:val="2"/>
          <w:kern w:val="2"/>
        </w:rPr>
        <w:t>5个工作日，乙方应向甲方提交满足甲方财务部门要求的相关增值税专用发票，并按甲方支付要求提供相关材料。若乙方未提供合法足额有效的增值税专用发票或未按甲方要求提供相关材料的，甲方有权拒绝或者延迟付款，并不承担任何违约责任。乙方不得以未付款为由，拒绝或迟延履行本合同其他义务，否则视为乙方违约，乙方应当按照本合同及法律规定承担违约责任。</w:t>
      </w:r>
    </w:p>
    <w:p>
      <w:pPr>
        <w:pStyle w:val="10"/>
        <w:spacing w:before="0" w:after="0" w:line="360" w:lineRule="auto"/>
        <w:rPr>
          <w:rFonts w:ascii="宋体" w:hAnsi="宋体" w:cs="宋体"/>
          <w:bCs/>
        </w:rPr>
      </w:pPr>
      <w:r>
        <w:rPr>
          <w:rFonts w:hint="eastAsia" w:ascii="宋体" w:hAnsi="宋体" w:cs="宋体"/>
          <w:bCs/>
        </w:rPr>
        <w:t>六、双方责任</w:t>
      </w:r>
    </w:p>
    <w:p>
      <w:pPr>
        <w:tabs>
          <w:tab w:val="left" w:pos="857"/>
        </w:tabs>
        <w:adjustRightInd/>
        <w:spacing w:line="360" w:lineRule="auto"/>
        <w:ind w:firstLine="480" w:firstLineChars="200"/>
        <w:jc w:val="both"/>
        <w:rPr>
          <w:rFonts w:ascii="宋体" w:hAnsi="宋体" w:eastAsia="宋体" w:cs="宋体"/>
          <w:bCs/>
        </w:rPr>
      </w:pPr>
      <w:r>
        <w:rPr>
          <w:rFonts w:hint="eastAsia" w:ascii="宋体" w:hAnsi="宋体" w:eastAsia="宋体" w:cs="宋体"/>
          <w:bCs/>
        </w:rPr>
        <w:t>6.1 甲方责任</w:t>
      </w:r>
    </w:p>
    <w:p>
      <w:pPr>
        <w:pStyle w:val="2"/>
        <w:tabs>
          <w:tab w:val="left" w:pos="0"/>
        </w:tabs>
        <w:adjustRightInd/>
        <w:spacing w:line="360" w:lineRule="auto"/>
        <w:ind w:left="0" w:firstLine="480" w:firstLineChars="200"/>
        <w:jc w:val="both"/>
        <w:rPr>
          <w:rFonts w:ascii="宋体" w:hAnsi="宋体" w:eastAsia="宋体" w:cs="宋体"/>
          <w:sz w:val="24"/>
          <w:szCs w:val="24"/>
        </w:rPr>
      </w:pPr>
      <w:r>
        <w:rPr>
          <w:rFonts w:hint="eastAsia" w:ascii="宋体" w:hAnsi="宋体" w:eastAsia="宋体" w:cs="宋体"/>
          <w:sz w:val="24"/>
          <w:szCs w:val="24"/>
        </w:rPr>
        <w:t>1. 在合同生效后，甲方按双方约定以及乙方列明资料清单向乙方及时提供技术资料，若乙方对甲方提供的资料或数据有疑义时，甲方应及时解答；</w:t>
      </w:r>
    </w:p>
    <w:p>
      <w:pPr>
        <w:pStyle w:val="2"/>
        <w:tabs>
          <w:tab w:val="left" w:pos="0"/>
        </w:tabs>
        <w:adjustRightInd/>
        <w:spacing w:line="360" w:lineRule="auto"/>
        <w:ind w:left="0" w:firstLine="480" w:firstLineChars="200"/>
        <w:jc w:val="both"/>
        <w:rPr>
          <w:rFonts w:ascii="宋体" w:hAnsi="宋体" w:eastAsia="宋体" w:cs="宋体"/>
          <w:sz w:val="24"/>
          <w:szCs w:val="24"/>
        </w:rPr>
      </w:pPr>
      <w:r>
        <w:rPr>
          <w:rFonts w:hint="eastAsia" w:ascii="宋体" w:hAnsi="宋体" w:eastAsia="宋体" w:cs="宋体"/>
          <w:sz w:val="24"/>
          <w:szCs w:val="24"/>
        </w:rPr>
        <w:t>2. 甲方对乙方在现场的调研给予必要协助；</w:t>
      </w:r>
    </w:p>
    <w:p>
      <w:pPr>
        <w:pStyle w:val="2"/>
        <w:tabs>
          <w:tab w:val="left" w:pos="0"/>
        </w:tabs>
        <w:adjustRightInd/>
        <w:spacing w:line="360" w:lineRule="auto"/>
        <w:ind w:left="0" w:firstLine="480" w:firstLineChars="200"/>
        <w:jc w:val="both"/>
        <w:rPr>
          <w:rFonts w:ascii="宋体" w:hAnsi="宋体" w:eastAsia="宋体" w:cs="宋体"/>
          <w:sz w:val="24"/>
          <w:szCs w:val="24"/>
        </w:rPr>
      </w:pPr>
      <w:r>
        <w:rPr>
          <w:rFonts w:hint="eastAsia" w:ascii="宋体" w:hAnsi="宋体" w:eastAsia="宋体" w:cs="宋体"/>
          <w:sz w:val="24"/>
          <w:szCs w:val="24"/>
        </w:rPr>
        <w:t>3. 甲方按照本合同规定的付款方式付款；</w:t>
      </w:r>
    </w:p>
    <w:p>
      <w:pPr>
        <w:pStyle w:val="2"/>
        <w:tabs>
          <w:tab w:val="left" w:pos="0"/>
        </w:tabs>
        <w:adjustRightInd/>
        <w:spacing w:line="360" w:lineRule="auto"/>
        <w:ind w:left="0" w:firstLine="480" w:firstLineChars="200"/>
        <w:jc w:val="both"/>
        <w:rPr>
          <w:rFonts w:ascii="宋体" w:hAnsi="宋体" w:eastAsia="宋体" w:cs="宋体"/>
          <w:sz w:val="24"/>
          <w:szCs w:val="24"/>
        </w:rPr>
      </w:pPr>
      <w:r>
        <w:rPr>
          <w:rFonts w:hint="eastAsia" w:ascii="宋体" w:hAnsi="宋体" w:eastAsia="宋体" w:cs="宋体"/>
          <w:sz w:val="24"/>
          <w:szCs w:val="24"/>
        </w:rPr>
        <w:t>4. 甲方要维护乙方评价成果，不得擅自修改。</w:t>
      </w:r>
    </w:p>
    <w:p>
      <w:pPr>
        <w:tabs>
          <w:tab w:val="left" w:pos="857"/>
        </w:tabs>
        <w:adjustRightInd/>
        <w:spacing w:line="360" w:lineRule="auto"/>
        <w:ind w:firstLine="480" w:firstLineChars="200"/>
        <w:jc w:val="both"/>
        <w:rPr>
          <w:rFonts w:ascii="宋体" w:hAnsi="宋体" w:eastAsia="宋体" w:cs="宋体"/>
          <w:bCs/>
        </w:rPr>
      </w:pPr>
      <w:r>
        <w:rPr>
          <w:rFonts w:hint="eastAsia" w:ascii="宋体" w:hAnsi="宋体" w:eastAsia="宋体" w:cs="宋体"/>
          <w:bCs/>
        </w:rPr>
        <w:t>6.2 乙方责任</w:t>
      </w:r>
    </w:p>
    <w:p>
      <w:pPr>
        <w:pStyle w:val="2"/>
        <w:tabs>
          <w:tab w:val="left" w:pos="0"/>
        </w:tabs>
        <w:adjustRightInd/>
        <w:spacing w:line="360" w:lineRule="auto"/>
        <w:ind w:left="0" w:firstLine="480" w:firstLineChars="200"/>
        <w:jc w:val="both"/>
        <w:rPr>
          <w:rFonts w:ascii="宋体" w:hAnsi="宋体" w:eastAsia="宋体" w:cs="宋体"/>
          <w:sz w:val="24"/>
          <w:szCs w:val="24"/>
        </w:rPr>
      </w:pPr>
      <w:r>
        <w:rPr>
          <w:rFonts w:hint="eastAsia" w:ascii="宋体" w:hAnsi="宋体" w:eastAsia="宋体" w:cs="宋体"/>
          <w:sz w:val="24"/>
          <w:szCs w:val="24"/>
        </w:rPr>
        <w:t>1. 在合同生效后，乙方向甲方及时提供符合要求的服务成果并积极协助办理相关手续，若甲方对乙方提供的服务成果或协助办理相关手续有疑义时，乙方应及时解答；</w:t>
      </w:r>
    </w:p>
    <w:p>
      <w:pPr>
        <w:pStyle w:val="2"/>
        <w:tabs>
          <w:tab w:val="left" w:pos="0"/>
        </w:tabs>
        <w:adjustRightInd/>
        <w:spacing w:line="360" w:lineRule="auto"/>
        <w:ind w:left="0" w:firstLine="480" w:firstLineChars="200"/>
        <w:jc w:val="both"/>
        <w:rPr>
          <w:rFonts w:ascii="宋体" w:hAnsi="宋体" w:eastAsia="宋体" w:cs="宋体"/>
          <w:sz w:val="24"/>
          <w:szCs w:val="24"/>
        </w:rPr>
      </w:pPr>
      <w:r>
        <w:rPr>
          <w:rFonts w:hint="eastAsia" w:ascii="宋体" w:hAnsi="宋体" w:eastAsia="宋体" w:cs="宋体"/>
          <w:sz w:val="24"/>
          <w:szCs w:val="24"/>
        </w:rPr>
        <w:t>2. 乙方要维护向甲方提供的评价成果，不得擅自修改；</w:t>
      </w:r>
    </w:p>
    <w:p>
      <w:pPr>
        <w:pStyle w:val="2"/>
        <w:tabs>
          <w:tab w:val="left" w:pos="0"/>
        </w:tabs>
        <w:adjustRightInd/>
        <w:spacing w:line="360" w:lineRule="auto"/>
        <w:ind w:left="0" w:firstLine="480" w:firstLineChars="200"/>
        <w:jc w:val="both"/>
        <w:rPr>
          <w:rFonts w:hint="eastAsia" w:ascii="宋体" w:hAnsi="宋体" w:eastAsia="宋体" w:cs="宋体"/>
          <w:kern w:val="2"/>
          <w:sz w:val="24"/>
          <w:szCs w:val="24"/>
        </w:rPr>
      </w:pPr>
      <w:r>
        <w:rPr>
          <w:rFonts w:hint="eastAsia" w:ascii="宋体" w:hAnsi="宋体" w:eastAsia="宋体" w:cs="宋体"/>
          <w:sz w:val="24"/>
          <w:szCs w:val="24"/>
        </w:rPr>
        <w:t>3.乙方按要求完成相关成果，通过甲方组织的工程竣工环境保护自主验收，</w:t>
      </w:r>
      <w:r>
        <w:rPr>
          <w:rFonts w:ascii="Times New Roman" w:hAnsi="宋体" w:eastAsia="宋体" w:cs="Times New Roman"/>
          <w:spacing w:val="1"/>
          <w:sz w:val="24"/>
          <w:szCs w:val="24"/>
        </w:rPr>
        <w:t>并配合完成验</w:t>
      </w:r>
      <w:r>
        <w:rPr>
          <w:rFonts w:ascii="Times New Roman" w:hAnsi="宋体" w:eastAsia="宋体" w:cs="Times New Roman"/>
          <w:spacing w:val="2"/>
          <w:sz w:val="24"/>
          <w:szCs w:val="24"/>
        </w:rPr>
        <w:t>收备案</w:t>
      </w:r>
      <w:r>
        <w:rPr>
          <w:rFonts w:hint="eastAsia" w:ascii="宋体" w:hAnsi="宋体" w:eastAsia="宋体" w:cs="宋体"/>
          <w:sz w:val="24"/>
          <w:szCs w:val="24"/>
        </w:rPr>
        <w:t>。</w:t>
      </w:r>
      <w:r>
        <w:rPr>
          <w:rFonts w:hint="eastAsia" w:ascii="宋体" w:hAnsi="宋体" w:eastAsia="宋体" w:cs="宋体"/>
          <w:kern w:val="2"/>
          <w:sz w:val="24"/>
          <w:szCs w:val="24"/>
        </w:rPr>
        <w:t>乙方未按合同要求履行义务或提供工作成果，乙方应当向甲方支付违约金（违约金计算方式：每延期一天，应向甲方支付合同总金额的万分之五），违约金可累计计算；延期15日仍不能按合同履行或完成年度工作目标的，甲方有权选择单方解除本合同，要求乙方退还已支付的款项，同时，乙方应向甲方支付合同总金额的20%作为违约金。</w:t>
      </w:r>
    </w:p>
    <w:p>
      <w:pPr>
        <w:pStyle w:val="10"/>
        <w:spacing w:before="0" w:after="0" w:line="360" w:lineRule="auto"/>
        <w:rPr>
          <w:rFonts w:ascii="宋体" w:hAnsi="宋体" w:cs="宋体"/>
          <w:bCs/>
        </w:rPr>
      </w:pPr>
      <w:r>
        <w:rPr>
          <w:rFonts w:hint="eastAsia" w:ascii="宋体" w:hAnsi="宋体" w:cs="宋体"/>
          <w:bCs/>
        </w:rPr>
        <w:t>七、违约处理</w:t>
      </w:r>
    </w:p>
    <w:p>
      <w:pPr>
        <w:pStyle w:val="2"/>
        <w:tabs>
          <w:tab w:val="left" w:pos="0"/>
        </w:tabs>
        <w:autoSpaceDE/>
        <w:autoSpaceDN/>
        <w:adjustRightInd/>
        <w:spacing w:line="360" w:lineRule="auto"/>
        <w:ind w:left="0"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乙方</w:t>
      </w:r>
      <w:r>
        <w:rPr>
          <w:rFonts w:hint="eastAsia" w:ascii="宋体" w:hAnsi="宋体" w:eastAsia="宋体" w:cs="宋体"/>
          <w:sz w:val="24"/>
          <w:szCs w:val="24"/>
        </w:rPr>
        <w:t>未经甲方同意随意更换主要管理人员，乙方须承担违约责任：每更换项目经理、技术负责人一人次承担违约金2万元；其他管理人员及专业工程师每更换一人次承担违约金0.5万元。</w:t>
      </w:r>
    </w:p>
    <w:p>
      <w:pPr>
        <w:pStyle w:val="2"/>
        <w:tabs>
          <w:tab w:val="left" w:pos="0"/>
        </w:tabs>
        <w:adjustRightInd/>
        <w:spacing w:line="360" w:lineRule="auto"/>
        <w:ind w:left="0" w:firstLine="480" w:firstLineChars="200"/>
        <w:jc w:val="both"/>
        <w:rPr>
          <w:rFonts w:ascii="宋体" w:hAnsi="宋体" w:eastAsia="宋体" w:cs="宋体"/>
          <w:sz w:val="24"/>
          <w:szCs w:val="24"/>
        </w:rPr>
      </w:pPr>
      <w:r>
        <w:rPr>
          <w:rFonts w:hint="eastAsia" w:ascii="宋体" w:hAnsi="宋体" w:eastAsia="宋体" w:cs="宋体"/>
          <w:sz w:val="24"/>
          <w:szCs w:val="24"/>
        </w:rPr>
        <w:t>2.如因乙方原因导致验收工作延误或影响工程正常进度，甲方根据影响程度，扣减乙方总费用的5％～10％违约金。</w:t>
      </w:r>
    </w:p>
    <w:p>
      <w:pPr>
        <w:pStyle w:val="10"/>
        <w:spacing w:before="0" w:after="0" w:line="360" w:lineRule="auto"/>
        <w:rPr>
          <w:rFonts w:ascii="宋体" w:hAnsi="宋体" w:cs="宋体"/>
          <w:bCs/>
        </w:rPr>
      </w:pPr>
      <w:r>
        <w:rPr>
          <w:rFonts w:hint="eastAsia" w:ascii="宋体" w:hAnsi="宋体" w:cs="宋体"/>
          <w:bCs/>
        </w:rPr>
        <w:t>八、争议解决</w:t>
      </w:r>
    </w:p>
    <w:p>
      <w:pPr>
        <w:tabs>
          <w:tab w:val="left" w:pos="857"/>
        </w:tabs>
        <w:adjustRightInd/>
        <w:spacing w:line="360" w:lineRule="auto"/>
        <w:ind w:firstLine="480" w:firstLineChars="200"/>
        <w:jc w:val="both"/>
        <w:rPr>
          <w:rFonts w:ascii="宋体" w:hAnsi="宋体" w:eastAsia="宋体" w:cs="宋体"/>
          <w:bCs/>
        </w:rPr>
      </w:pPr>
      <w:r>
        <w:rPr>
          <w:rFonts w:hint="eastAsia" w:ascii="宋体" w:hAnsi="宋体" w:eastAsia="宋体" w:cs="宋体"/>
          <w:bCs/>
        </w:rPr>
        <w:t>8.1 友好解决</w:t>
      </w:r>
    </w:p>
    <w:p>
      <w:pPr>
        <w:pStyle w:val="2"/>
        <w:tabs>
          <w:tab w:val="left" w:pos="0"/>
        </w:tabs>
        <w:adjustRightInd/>
        <w:spacing w:line="360" w:lineRule="auto"/>
        <w:ind w:left="0" w:firstLine="480" w:firstLineChars="200"/>
        <w:jc w:val="both"/>
        <w:rPr>
          <w:rFonts w:ascii="宋体" w:hAnsi="宋体" w:eastAsia="宋体" w:cs="宋体"/>
          <w:sz w:val="24"/>
          <w:szCs w:val="24"/>
        </w:rPr>
      </w:pPr>
      <w:r>
        <w:rPr>
          <w:rFonts w:hint="eastAsia" w:ascii="宋体" w:hAnsi="宋体" w:eastAsia="宋体" w:cs="宋体"/>
          <w:sz w:val="24"/>
          <w:szCs w:val="24"/>
        </w:rPr>
        <w:t>甲、乙双方在履行合同时发生争议，应本着公平、合理的原则尽力以和解或调解的方式友好解决争议。</w:t>
      </w:r>
    </w:p>
    <w:p>
      <w:pPr>
        <w:tabs>
          <w:tab w:val="left" w:pos="857"/>
        </w:tabs>
        <w:adjustRightInd/>
        <w:spacing w:line="360" w:lineRule="auto"/>
        <w:ind w:firstLine="480" w:firstLineChars="200"/>
        <w:jc w:val="both"/>
        <w:rPr>
          <w:rFonts w:ascii="宋体" w:hAnsi="宋体" w:eastAsia="宋体" w:cs="宋体"/>
          <w:bCs/>
        </w:rPr>
      </w:pPr>
      <w:r>
        <w:rPr>
          <w:rFonts w:hint="eastAsia" w:ascii="宋体" w:hAnsi="宋体" w:eastAsia="宋体" w:cs="宋体"/>
          <w:bCs/>
        </w:rPr>
        <w:t>8.2 仲裁与起诉</w:t>
      </w:r>
    </w:p>
    <w:p>
      <w:pPr>
        <w:pStyle w:val="2"/>
        <w:tabs>
          <w:tab w:val="left" w:pos="0"/>
        </w:tabs>
        <w:adjustRightInd/>
        <w:spacing w:line="360" w:lineRule="auto"/>
        <w:ind w:left="0" w:firstLine="480" w:firstLineChars="200"/>
        <w:jc w:val="both"/>
        <w:rPr>
          <w:rFonts w:ascii="宋体" w:hAnsi="宋体" w:eastAsia="宋体" w:cs="宋体"/>
          <w:sz w:val="24"/>
          <w:szCs w:val="24"/>
        </w:rPr>
      </w:pPr>
      <w:r>
        <w:rPr>
          <w:rFonts w:hint="eastAsia" w:ascii="宋体" w:hAnsi="宋体" w:eastAsia="宋体" w:cs="宋体"/>
          <w:sz w:val="24"/>
          <w:szCs w:val="24"/>
        </w:rPr>
        <w:t>甲、乙双方在履行合同时发生争议，不愿和解、调解或者和解、调解不成的，双方可以向甲方所在地人民法院起诉。</w:t>
      </w:r>
    </w:p>
    <w:p>
      <w:pPr>
        <w:pStyle w:val="10"/>
        <w:spacing w:before="0" w:after="0" w:line="360" w:lineRule="auto"/>
        <w:rPr>
          <w:rFonts w:ascii="宋体" w:hAnsi="宋体" w:cs="宋体"/>
          <w:bCs/>
        </w:rPr>
      </w:pPr>
      <w:r>
        <w:rPr>
          <w:rFonts w:hint="eastAsia" w:ascii="宋体" w:hAnsi="宋体" w:cs="宋体"/>
          <w:bCs/>
        </w:rPr>
        <w:t>九、其它</w:t>
      </w:r>
    </w:p>
    <w:p>
      <w:pPr>
        <w:pStyle w:val="2"/>
        <w:tabs>
          <w:tab w:val="left" w:pos="0"/>
        </w:tabs>
        <w:adjustRightInd/>
        <w:spacing w:line="360" w:lineRule="auto"/>
        <w:ind w:left="0" w:firstLine="480" w:firstLineChars="200"/>
        <w:jc w:val="both"/>
        <w:rPr>
          <w:rFonts w:ascii="宋体" w:hAnsi="宋体" w:eastAsia="宋体" w:cs="宋体"/>
          <w:sz w:val="24"/>
          <w:szCs w:val="24"/>
        </w:rPr>
      </w:pPr>
      <w:r>
        <w:rPr>
          <w:rFonts w:hint="eastAsia" w:ascii="宋体" w:hAnsi="宋体" w:eastAsia="宋体" w:cs="宋体"/>
          <w:sz w:val="24"/>
          <w:szCs w:val="24"/>
        </w:rPr>
        <w:t>9.1 甲方利用乙方提交的技术服务工作成果所完成的新的技术成果，归甲方所有。</w:t>
      </w:r>
    </w:p>
    <w:p>
      <w:pPr>
        <w:pStyle w:val="2"/>
        <w:tabs>
          <w:tab w:val="left" w:pos="0"/>
        </w:tabs>
        <w:adjustRightInd/>
        <w:spacing w:line="360" w:lineRule="auto"/>
        <w:ind w:left="0" w:firstLine="480" w:firstLineChars="200"/>
        <w:jc w:val="both"/>
        <w:rPr>
          <w:rFonts w:ascii="宋体" w:hAnsi="宋体" w:eastAsia="宋体" w:cs="宋体"/>
          <w:sz w:val="24"/>
          <w:szCs w:val="24"/>
        </w:rPr>
      </w:pPr>
      <w:r>
        <w:rPr>
          <w:rFonts w:hint="eastAsia" w:ascii="宋体" w:hAnsi="宋体" w:eastAsia="宋体" w:cs="宋体"/>
          <w:sz w:val="24"/>
          <w:szCs w:val="24"/>
        </w:rPr>
        <w:t>9.2 在本合同有效期期内，乙方利用甲方提供技术资料和工作条件所完成的技术成果，归甲方所有，甲方享有使用权并独享使用所获取的收益。</w:t>
      </w:r>
    </w:p>
    <w:p>
      <w:pPr>
        <w:pStyle w:val="2"/>
        <w:tabs>
          <w:tab w:val="left" w:pos="0"/>
        </w:tabs>
        <w:adjustRightInd/>
        <w:spacing w:line="360" w:lineRule="auto"/>
        <w:ind w:left="0"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乙方为本项目所收集的全部资料仅用于本次工作，其所有权归甲方所有。乙方履行完合同或提前终止合同时，应在本合同履行完毕或提前终止后10日内根据甲方要求将全部资料归还甲方或根据甲方要求予以销毁。未经甲方书面同意不得将资料、履行合同过程中知悉的甲方信息以及编制的报告内容透露给第三人或用于本合同目的以外的用途，否则由此造成甲方损失的，甲方有权要求乙方退还咨询费用并赔偿甲方损失。</w:t>
      </w:r>
    </w:p>
    <w:p>
      <w:pPr>
        <w:pStyle w:val="2"/>
        <w:tabs>
          <w:tab w:val="left" w:pos="0"/>
        </w:tabs>
        <w:adjustRightInd/>
        <w:spacing w:line="360" w:lineRule="auto"/>
        <w:ind w:left="0" w:firstLine="480" w:firstLineChars="200"/>
        <w:jc w:val="both"/>
        <w:rPr>
          <w:rFonts w:ascii="宋体" w:hAnsi="宋体" w:eastAsia="宋体" w:cs="宋体"/>
          <w:sz w:val="24"/>
          <w:szCs w:val="24"/>
        </w:rPr>
      </w:pPr>
      <w:r>
        <w:rPr>
          <w:rFonts w:hint="eastAsia" w:ascii="宋体" w:hAnsi="宋体" w:eastAsia="宋体" w:cs="宋体"/>
          <w:sz w:val="24"/>
          <w:szCs w:val="24"/>
        </w:rPr>
        <w:t>9.3 乙方在使用相关的技术、方法过程中以及向甲方提交的</w:t>
      </w:r>
      <w:r>
        <w:rPr>
          <w:rFonts w:hint="eastAsia" w:ascii="宋体" w:hAnsi="宋体" w:eastAsia="宋体" w:cs="宋体"/>
          <w:kern w:val="2"/>
          <w:sz w:val="24"/>
          <w:szCs w:val="24"/>
        </w:rPr>
        <w:t>工作成果，不能侵犯其他任何第三方的任何权利，乙方</w:t>
      </w:r>
      <w:r>
        <w:rPr>
          <w:rFonts w:hint="eastAsia" w:ascii="宋体" w:hAnsi="宋体" w:eastAsia="宋体" w:cs="宋体"/>
          <w:sz w:val="24"/>
          <w:szCs w:val="24"/>
        </w:rPr>
        <w:t>保证甲方免受第三方提出的侵犯相关知识产权的起诉。如有发生，则乙方应承担全部责任以及由此所发生的全部费用。</w:t>
      </w:r>
    </w:p>
    <w:p>
      <w:pPr>
        <w:pStyle w:val="2"/>
        <w:tabs>
          <w:tab w:val="left" w:pos="0"/>
        </w:tabs>
        <w:adjustRightInd/>
        <w:spacing w:line="360" w:lineRule="auto"/>
        <w:ind w:left="0" w:firstLine="480" w:firstLineChars="200"/>
        <w:jc w:val="both"/>
        <w:rPr>
          <w:rFonts w:ascii="宋体" w:hAnsi="宋体" w:eastAsia="宋体" w:cs="宋体"/>
          <w:sz w:val="24"/>
          <w:szCs w:val="24"/>
        </w:rPr>
      </w:pPr>
      <w:r>
        <w:rPr>
          <w:rFonts w:hint="eastAsia" w:ascii="宋体" w:hAnsi="宋体" w:eastAsia="宋体" w:cs="宋体"/>
          <w:sz w:val="24"/>
          <w:szCs w:val="24"/>
        </w:rPr>
        <w:t>9.4 乙方在项目现场工作过程中发生安全事故责任自负，如给甲方或第三方造成人身伤害、财产损失，则应承担相应的赔偿责任。</w:t>
      </w:r>
    </w:p>
    <w:p>
      <w:pPr>
        <w:pStyle w:val="2"/>
        <w:tabs>
          <w:tab w:val="left" w:pos="0"/>
        </w:tabs>
        <w:adjustRightInd/>
        <w:spacing w:line="360" w:lineRule="auto"/>
        <w:ind w:left="0" w:firstLine="480" w:firstLineChars="200"/>
        <w:jc w:val="both"/>
        <w:rPr>
          <w:rFonts w:ascii="宋体" w:hAnsi="宋体" w:eastAsia="宋体" w:cs="宋体"/>
          <w:sz w:val="24"/>
          <w:szCs w:val="24"/>
        </w:rPr>
      </w:pPr>
      <w:r>
        <w:rPr>
          <w:rFonts w:hint="eastAsia" w:ascii="宋体" w:hAnsi="宋体" w:eastAsia="宋体" w:cs="宋体"/>
          <w:sz w:val="24"/>
          <w:szCs w:val="24"/>
        </w:rPr>
        <w:t>9.5 为加强廉政建设工作，甲、乙双方应签订廉政协议书（详见附件一）。</w:t>
      </w:r>
    </w:p>
    <w:p>
      <w:pPr>
        <w:pStyle w:val="2"/>
        <w:tabs>
          <w:tab w:val="left" w:pos="0"/>
        </w:tabs>
        <w:adjustRightInd/>
        <w:spacing w:line="360" w:lineRule="auto"/>
        <w:ind w:left="0" w:firstLine="480" w:firstLineChars="200"/>
        <w:jc w:val="both"/>
        <w:rPr>
          <w:rFonts w:ascii="宋体" w:hAnsi="宋体" w:eastAsia="宋体" w:cs="宋体"/>
          <w:kern w:val="2"/>
          <w:sz w:val="24"/>
          <w:szCs w:val="24"/>
        </w:rPr>
      </w:pPr>
      <w:r>
        <w:rPr>
          <w:rFonts w:hint="eastAsia" w:ascii="宋体" w:hAnsi="宋体" w:eastAsia="宋体" w:cs="宋体"/>
          <w:sz w:val="24"/>
          <w:szCs w:val="24"/>
        </w:rPr>
        <w:t xml:space="preserve">9.6 </w:t>
      </w:r>
      <w:r>
        <w:rPr>
          <w:rFonts w:hint="eastAsia" w:ascii="宋体" w:hAnsi="宋体" w:eastAsia="宋体" w:cs="宋体"/>
          <w:kern w:val="2"/>
          <w:sz w:val="24"/>
          <w:szCs w:val="24"/>
        </w:rPr>
        <w:t>因乙方原因，提交报告不符合甲方或有关部门要求的，乙方应无条件修改或返工重做，由此延误的期限，乙方向甲方支付违约金。如修改、重做后仍不能通过有关部门的评审的，甲方有权选择解除本合同，要求乙方返还甲方已经支付的费用。</w:t>
      </w:r>
    </w:p>
    <w:p>
      <w:pPr>
        <w:pStyle w:val="2"/>
        <w:tabs>
          <w:tab w:val="left" w:pos="0"/>
        </w:tabs>
        <w:adjustRightInd/>
        <w:spacing w:line="360" w:lineRule="auto"/>
        <w:ind w:left="0"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9.7乙方违反本合同约定或法律规定的，应当赔偿给甲方造成的损失，包括但不限于给甲方造成的直接损失、预期利益损失、甲方因此向第三人承担的违约金、赔偿金以及甲方为索赔支出的诉讼费、律师费、鉴定费、差旅费等全部费用。</w:t>
      </w:r>
    </w:p>
    <w:p>
      <w:pPr>
        <w:pStyle w:val="10"/>
        <w:spacing w:before="0" w:after="0" w:line="360" w:lineRule="auto"/>
        <w:rPr>
          <w:rFonts w:ascii="宋体" w:hAnsi="宋体" w:cs="宋体"/>
          <w:bCs/>
        </w:rPr>
      </w:pPr>
      <w:r>
        <w:rPr>
          <w:rFonts w:hint="eastAsia" w:ascii="宋体" w:hAnsi="宋体" w:cs="宋体"/>
          <w:bCs/>
        </w:rPr>
        <w:t>十、合同生效与终止</w:t>
      </w:r>
    </w:p>
    <w:p>
      <w:pPr>
        <w:pStyle w:val="2"/>
        <w:tabs>
          <w:tab w:val="left" w:pos="0"/>
        </w:tabs>
        <w:adjustRightInd/>
        <w:spacing w:line="360" w:lineRule="auto"/>
        <w:ind w:left="0" w:firstLine="480" w:firstLineChars="200"/>
        <w:jc w:val="both"/>
        <w:rPr>
          <w:rFonts w:ascii="宋体" w:hAnsi="宋体" w:eastAsia="宋体" w:cs="宋体"/>
          <w:sz w:val="24"/>
          <w:szCs w:val="24"/>
        </w:rPr>
      </w:pPr>
      <w:r>
        <w:rPr>
          <w:rFonts w:hint="eastAsia" w:ascii="宋体" w:hAnsi="宋体" w:eastAsia="宋体" w:cs="宋体"/>
          <w:sz w:val="24"/>
          <w:szCs w:val="24"/>
        </w:rPr>
        <w:t>本合同自甲、乙双方签字盖章之日起生效，全部咨询工作完成、竣工结算费用支付完毕后终止。</w:t>
      </w:r>
    </w:p>
    <w:p>
      <w:pPr>
        <w:adjustRightInd/>
        <w:spacing w:line="360" w:lineRule="auto"/>
        <w:ind w:firstLine="480" w:firstLineChars="200"/>
        <w:jc w:val="both"/>
        <w:rPr>
          <w:rFonts w:ascii="宋体" w:hAnsi="宋体" w:eastAsia="宋体" w:cs="宋体"/>
          <w:lang w:val="zh-CN"/>
        </w:rPr>
      </w:pPr>
      <w:r>
        <w:rPr>
          <w:rFonts w:hint="eastAsia" w:ascii="宋体" w:hAnsi="宋体" w:eastAsia="宋体" w:cs="宋体"/>
        </w:rPr>
        <w:t>本合同一式</w:t>
      </w:r>
      <w:r>
        <w:rPr>
          <w:rFonts w:hint="eastAsia" w:ascii="宋体" w:hAnsi="宋体" w:eastAsia="宋体" w:cs="宋体"/>
          <w:b/>
          <w:bCs/>
          <w:u w:val="single"/>
        </w:rPr>
        <w:t>捌</w:t>
      </w:r>
      <w:r>
        <w:rPr>
          <w:rFonts w:hint="eastAsia" w:ascii="宋体" w:hAnsi="宋体" w:eastAsia="宋体" w:cs="宋体"/>
        </w:rPr>
        <w:t>份</w:t>
      </w:r>
      <w:r>
        <w:rPr>
          <w:rFonts w:hint="eastAsia" w:ascii="宋体" w:hAnsi="宋体" w:eastAsia="宋体" w:cs="宋体"/>
          <w:b/>
          <w:bCs/>
          <w:u w:val="single"/>
        </w:rPr>
        <w:t>贰</w:t>
      </w:r>
      <w:r>
        <w:rPr>
          <w:rFonts w:hint="eastAsia" w:ascii="宋体" w:hAnsi="宋体" w:eastAsia="宋体" w:cs="宋体"/>
        </w:rPr>
        <w:t>正</w:t>
      </w:r>
      <w:r>
        <w:rPr>
          <w:rFonts w:hint="eastAsia" w:ascii="宋体" w:hAnsi="宋体" w:eastAsia="宋体" w:cs="宋体"/>
          <w:b/>
          <w:bCs/>
          <w:u w:val="single"/>
        </w:rPr>
        <w:t>陆</w:t>
      </w:r>
      <w:r>
        <w:rPr>
          <w:rFonts w:hint="eastAsia" w:ascii="宋体" w:hAnsi="宋体" w:eastAsia="宋体" w:cs="宋体"/>
        </w:rPr>
        <w:t>副。其中甲方执</w:t>
      </w:r>
      <w:r>
        <w:rPr>
          <w:rFonts w:hint="eastAsia" w:ascii="宋体" w:hAnsi="宋体" w:eastAsia="宋体" w:cs="宋体"/>
          <w:b/>
          <w:bCs/>
          <w:u w:val="single"/>
        </w:rPr>
        <w:t>伍</w:t>
      </w:r>
      <w:r>
        <w:rPr>
          <w:rFonts w:hint="eastAsia" w:ascii="宋体" w:hAnsi="宋体" w:eastAsia="宋体" w:cs="宋体"/>
        </w:rPr>
        <w:t>份</w:t>
      </w:r>
      <w:r>
        <w:rPr>
          <w:rFonts w:hint="eastAsia" w:ascii="宋体" w:hAnsi="宋体" w:eastAsia="宋体" w:cs="宋体"/>
          <w:b/>
          <w:bCs/>
          <w:u w:val="single"/>
        </w:rPr>
        <w:t>壹</w:t>
      </w:r>
      <w:r>
        <w:rPr>
          <w:rFonts w:hint="eastAsia" w:ascii="宋体" w:hAnsi="宋体" w:eastAsia="宋体" w:cs="宋体"/>
        </w:rPr>
        <w:t>正</w:t>
      </w:r>
      <w:r>
        <w:rPr>
          <w:rFonts w:hint="eastAsia" w:ascii="宋体" w:hAnsi="宋体" w:eastAsia="宋体" w:cs="宋体"/>
          <w:b/>
          <w:bCs/>
          <w:u w:val="single"/>
        </w:rPr>
        <w:t>肆</w:t>
      </w:r>
      <w:r>
        <w:rPr>
          <w:rFonts w:hint="eastAsia" w:ascii="宋体" w:hAnsi="宋体" w:eastAsia="宋体" w:cs="宋体"/>
        </w:rPr>
        <w:t>副，乙方执</w:t>
      </w:r>
      <w:r>
        <w:rPr>
          <w:rFonts w:hint="eastAsia" w:ascii="宋体" w:hAnsi="宋体" w:eastAsia="宋体" w:cs="宋体"/>
          <w:b/>
          <w:bCs/>
          <w:u w:val="single"/>
        </w:rPr>
        <w:t>叁</w:t>
      </w:r>
      <w:r>
        <w:rPr>
          <w:rFonts w:hint="eastAsia" w:ascii="宋体" w:hAnsi="宋体" w:eastAsia="宋体" w:cs="宋体"/>
        </w:rPr>
        <w:t>份</w:t>
      </w:r>
      <w:r>
        <w:rPr>
          <w:rFonts w:hint="eastAsia" w:ascii="宋体" w:hAnsi="宋体" w:eastAsia="宋体" w:cs="宋体"/>
          <w:b/>
          <w:bCs/>
          <w:u w:val="single"/>
        </w:rPr>
        <w:t>壹</w:t>
      </w:r>
      <w:r>
        <w:rPr>
          <w:rFonts w:hint="eastAsia" w:ascii="宋体" w:hAnsi="宋体" w:eastAsia="宋体" w:cs="宋体"/>
        </w:rPr>
        <w:t>正</w:t>
      </w:r>
      <w:r>
        <w:rPr>
          <w:rFonts w:hint="eastAsia" w:ascii="宋体" w:hAnsi="宋体" w:eastAsia="宋体" w:cs="宋体"/>
          <w:b/>
          <w:bCs/>
          <w:u w:val="single"/>
        </w:rPr>
        <w:t>贰</w:t>
      </w:r>
      <w:r>
        <w:rPr>
          <w:rFonts w:hint="eastAsia" w:ascii="宋体" w:hAnsi="宋体" w:eastAsia="宋体" w:cs="宋体"/>
        </w:rPr>
        <w:t>副。</w:t>
      </w:r>
      <w:r>
        <w:rPr>
          <w:rFonts w:hint="eastAsia" w:ascii="宋体" w:hAnsi="宋体" w:eastAsia="宋体" w:cs="宋体"/>
          <w:lang w:val="zh-CN"/>
        </w:rPr>
        <w:t>本合同正本与副本具有同等法律效力，副本与正本有矛盾时，以正本为准。</w:t>
      </w:r>
    </w:p>
    <w:p>
      <w:pPr>
        <w:pStyle w:val="2"/>
        <w:tabs>
          <w:tab w:val="left" w:pos="0"/>
        </w:tabs>
        <w:spacing w:line="360" w:lineRule="auto"/>
        <w:ind w:firstLine="480" w:firstLineChars="200"/>
        <w:rPr>
          <w:rFonts w:ascii="宋体" w:hAnsi="宋体" w:eastAsia="宋体" w:cs="宋体"/>
          <w:sz w:val="24"/>
          <w:szCs w:val="24"/>
        </w:rPr>
      </w:pPr>
    </w:p>
    <w:p>
      <w:pPr>
        <w:pStyle w:val="2"/>
        <w:tabs>
          <w:tab w:val="left" w:pos="0"/>
        </w:tabs>
        <w:spacing w:line="360" w:lineRule="auto"/>
        <w:ind w:firstLine="480" w:firstLineChars="200"/>
        <w:rPr>
          <w:rFonts w:ascii="宋体" w:hAnsi="宋体" w:eastAsia="宋体" w:cs="宋体"/>
          <w:sz w:val="24"/>
          <w:szCs w:val="24"/>
        </w:rPr>
      </w:pPr>
    </w:p>
    <w:p>
      <w:pPr>
        <w:pStyle w:val="2"/>
        <w:tabs>
          <w:tab w:val="left" w:pos="0"/>
        </w:tabs>
        <w:spacing w:line="360" w:lineRule="auto"/>
        <w:ind w:left="0" w:firstLine="480" w:firstLineChars="200"/>
        <w:rPr>
          <w:rFonts w:ascii="宋体" w:hAnsi="宋体" w:eastAsia="宋体" w:cs="宋体"/>
          <w:sz w:val="24"/>
          <w:szCs w:val="24"/>
        </w:rPr>
      </w:pPr>
      <w:r>
        <w:rPr>
          <w:rFonts w:hint="eastAsia" w:ascii="宋体" w:hAnsi="宋体" w:eastAsia="宋体" w:cs="宋体"/>
          <w:sz w:val="24"/>
          <w:szCs w:val="24"/>
        </w:rPr>
        <w:t>（签署栏）</w:t>
      </w:r>
    </w:p>
    <w:tbl>
      <w:tblPr>
        <w:tblStyle w:val="48"/>
        <w:tblW w:w="0" w:type="auto"/>
        <w:tblInd w:w="0" w:type="dxa"/>
        <w:tblLayout w:type="fixed"/>
        <w:tblCellMar>
          <w:top w:w="0" w:type="dxa"/>
          <w:left w:w="108" w:type="dxa"/>
          <w:bottom w:w="0" w:type="dxa"/>
          <w:right w:w="108" w:type="dxa"/>
        </w:tblCellMar>
      </w:tblPr>
      <w:tblGrid>
        <w:gridCol w:w="4699"/>
        <w:gridCol w:w="4524"/>
      </w:tblGrid>
      <w:tr>
        <w:tblPrEx>
          <w:tblCellMar>
            <w:top w:w="0" w:type="dxa"/>
            <w:left w:w="108" w:type="dxa"/>
            <w:bottom w:w="0" w:type="dxa"/>
            <w:right w:w="108" w:type="dxa"/>
          </w:tblCellMar>
        </w:tblPrEx>
        <w:trPr>
          <w:trHeight w:val="1271" w:hRule="atLeast"/>
        </w:trPr>
        <w:tc>
          <w:tcPr>
            <w:tcW w:w="4699" w:type="dxa"/>
          </w:tcPr>
          <w:p>
            <w:pPr>
              <w:tabs>
                <w:tab w:val="left" w:pos="4800"/>
              </w:tabs>
              <w:spacing w:line="360" w:lineRule="auto"/>
              <w:rPr>
                <w:rFonts w:ascii="宋体" w:hAnsi="宋体" w:eastAsia="宋体" w:cs="宋体"/>
                <w:u w:val="single"/>
              </w:rPr>
            </w:pPr>
            <w:r>
              <w:rPr>
                <w:rFonts w:hint="eastAsia" w:ascii="宋体" w:hAnsi="宋体" w:eastAsia="宋体" w:cs="宋体"/>
              </w:rPr>
              <w:t>甲方：四川省能投攀枝花水电开发有限公司(公章)</w:t>
            </w:r>
          </w:p>
        </w:tc>
        <w:tc>
          <w:tcPr>
            <w:tcW w:w="4524" w:type="dxa"/>
          </w:tcPr>
          <w:p>
            <w:pPr>
              <w:tabs>
                <w:tab w:val="left" w:pos="4800"/>
              </w:tabs>
              <w:spacing w:line="360" w:lineRule="auto"/>
              <w:rPr>
                <w:rFonts w:ascii="宋体" w:hAnsi="宋体" w:eastAsia="宋体" w:cs="宋体"/>
              </w:rPr>
            </w:pPr>
            <w:r>
              <w:rPr>
                <w:rFonts w:hint="eastAsia" w:ascii="宋体" w:hAnsi="宋体" w:eastAsia="宋体" w:cs="宋体"/>
              </w:rPr>
              <w:t>乙方：</w:t>
            </w:r>
          </w:p>
          <w:p>
            <w:pPr>
              <w:tabs>
                <w:tab w:val="left" w:pos="4800"/>
              </w:tabs>
              <w:spacing w:line="360" w:lineRule="auto"/>
              <w:rPr>
                <w:rFonts w:ascii="宋体" w:hAnsi="宋体" w:eastAsia="宋体" w:cs="宋体"/>
                <w:u w:val="single"/>
              </w:rPr>
            </w:pPr>
            <w:r>
              <w:rPr>
                <w:rFonts w:hint="eastAsia" w:ascii="宋体" w:hAnsi="宋体" w:eastAsia="宋体" w:cs="宋体"/>
              </w:rPr>
              <w:t xml:space="preserve">                                                  </w:t>
            </w:r>
          </w:p>
        </w:tc>
      </w:tr>
      <w:tr>
        <w:tblPrEx>
          <w:tblCellMar>
            <w:top w:w="0" w:type="dxa"/>
            <w:left w:w="108" w:type="dxa"/>
            <w:bottom w:w="0" w:type="dxa"/>
            <w:right w:w="108" w:type="dxa"/>
          </w:tblCellMar>
        </w:tblPrEx>
        <w:trPr>
          <w:trHeight w:val="1146" w:hRule="atLeast"/>
        </w:trPr>
        <w:tc>
          <w:tcPr>
            <w:tcW w:w="4699" w:type="dxa"/>
          </w:tcPr>
          <w:p>
            <w:pPr>
              <w:tabs>
                <w:tab w:val="left" w:pos="4800"/>
              </w:tabs>
              <w:spacing w:line="360" w:lineRule="auto"/>
              <w:rPr>
                <w:rFonts w:ascii="宋体" w:hAnsi="宋体" w:eastAsia="宋体" w:cs="宋体"/>
              </w:rPr>
            </w:pPr>
            <w:r>
              <w:rPr>
                <w:rFonts w:hint="eastAsia" w:ascii="宋体" w:hAnsi="宋体" w:eastAsia="宋体" w:cs="宋体"/>
              </w:rPr>
              <w:t>法定代表人</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p>
            <w:pPr>
              <w:spacing w:line="360" w:lineRule="auto"/>
              <w:rPr>
                <w:rFonts w:ascii="宋体" w:hAnsi="宋体" w:eastAsia="宋体" w:cs="宋体"/>
              </w:rPr>
            </w:pPr>
            <w:r>
              <w:rPr>
                <w:rFonts w:hint="eastAsia" w:ascii="宋体" w:hAnsi="宋体" w:eastAsia="宋体" w:cs="宋体"/>
              </w:rPr>
              <w:t>(或委托代理人)：</w:t>
            </w:r>
          </w:p>
        </w:tc>
        <w:tc>
          <w:tcPr>
            <w:tcW w:w="4524" w:type="dxa"/>
          </w:tcPr>
          <w:p>
            <w:pPr>
              <w:tabs>
                <w:tab w:val="left" w:pos="4800"/>
              </w:tabs>
              <w:spacing w:line="360" w:lineRule="auto"/>
              <w:rPr>
                <w:rFonts w:ascii="宋体" w:hAnsi="宋体" w:eastAsia="宋体" w:cs="宋体"/>
              </w:rPr>
            </w:pPr>
            <w:r>
              <w:rPr>
                <w:rFonts w:hint="eastAsia" w:ascii="宋体" w:hAnsi="宋体" w:eastAsia="宋体" w:cs="宋体"/>
              </w:rPr>
              <w:t>法定代表人</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p>
            <w:pPr>
              <w:spacing w:line="360" w:lineRule="auto"/>
              <w:rPr>
                <w:rFonts w:ascii="宋体" w:hAnsi="宋体" w:eastAsia="宋体" w:cs="宋体"/>
              </w:rPr>
            </w:pPr>
            <w:r>
              <w:rPr>
                <w:rFonts w:hint="eastAsia" w:ascii="宋体" w:hAnsi="宋体" w:eastAsia="宋体" w:cs="宋体"/>
              </w:rPr>
              <w:t>(或委托代理人)：</w:t>
            </w:r>
          </w:p>
        </w:tc>
      </w:tr>
      <w:tr>
        <w:tblPrEx>
          <w:tblCellMar>
            <w:top w:w="0" w:type="dxa"/>
            <w:left w:w="108" w:type="dxa"/>
            <w:bottom w:w="0" w:type="dxa"/>
            <w:right w:w="108" w:type="dxa"/>
          </w:tblCellMar>
        </w:tblPrEx>
        <w:tc>
          <w:tcPr>
            <w:tcW w:w="4699" w:type="dxa"/>
          </w:tcPr>
          <w:p>
            <w:pPr>
              <w:spacing w:line="360" w:lineRule="auto"/>
              <w:rPr>
                <w:rFonts w:ascii="宋体" w:hAnsi="宋体" w:eastAsia="宋体" w:cs="宋体"/>
              </w:rPr>
            </w:pPr>
            <w:r>
              <w:rPr>
                <w:rFonts w:hint="eastAsia" w:ascii="宋体" w:hAnsi="宋体" w:eastAsia="宋体" w:cs="宋体"/>
              </w:rPr>
              <w:t>纳税人识别号：</w:t>
            </w:r>
          </w:p>
        </w:tc>
        <w:tc>
          <w:tcPr>
            <w:tcW w:w="4524" w:type="dxa"/>
          </w:tcPr>
          <w:p>
            <w:pPr>
              <w:spacing w:line="360" w:lineRule="auto"/>
              <w:rPr>
                <w:rFonts w:ascii="宋体" w:hAnsi="宋体" w:eastAsia="宋体" w:cs="宋体"/>
              </w:rPr>
            </w:pPr>
            <w:r>
              <w:rPr>
                <w:rFonts w:hint="eastAsia" w:ascii="宋体" w:hAnsi="宋体" w:eastAsia="宋体" w:cs="宋体"/>
              </w:rPr>
              <w:t>纳税人识别号：</w:t>
            </w:r>
          </w:p>
        </w:tc>
      </w:tr>
      <w:tr>
        <w:tblPrEx>
          <w:tblCellMar>
            <w:top w:w="0" w:type="dxa"/>
            <w:left w:w="108" w:type="dxa"/>
            <w:bottom w:w="0" w:type="dxa"/>
            <w:right w:w="108" w:type="dxa"/>
          </w:tblCellMar>
        </w:tblPrEx>
        <w:tc>
          <w:tcPr>
            <w:tcW w:w="4699" w:type="dxa"/>
          </w:tcPr>
          <w:p>
            <w:pPr>
              <w:spacing w:line="360" w:lineRule="auto"/>
              <w:rPr>
                <w:rFonts w:ascii="宋体" w:hAnsi="宋体" w:eastAsia="宋体" w:cs="宋体"/>
              </w:rPr>
            </w:pPr>
            <w:r>
              <w:rPr>
                <w:rFonts w:hint="eastAsia" w:ascii="宋体" w:hAnsi="宋体" w:eastAsia="宋体" w:cs="宋体"/>
              </w:rPr>
              <w:t>开户银行：</w:t>
            </w:r>
          </w:p>
        </w:tc>
        <w:tc>
          <w:tcPr>
            <w:tcW w:w="4524" w:type="dxa"/>
          </w:tcPr>
          <w:p>
            <w:pPr>
              <w:spacing w:line="360" w:lineRule="auto"/>
              <w:rPr>
                <w:rFonts w:ascii="宋体" w:hAnsi="宋体" w:eastAsia="宋体" w:cs="宋体"/>
              </w:rPr>
            </w:pPr>
            <w:r>
              <w:rPr>
                <w:rFonts w:hint="eastAsia" w:ascii="宋体" w:hAnsi="宋体" w:eastAsia="宋体" w:cs="宋体"/>
              </w:rPr>
              <w:t>开户银行：</w:t>
            </w:r>
          </w:p>
        </w:tc>
      </w:tr>
      <w:tr>
        <w:tblPrEx>
          <w:tblCellMar>
            <w:top w:w="0" w:type="dxa"/>
            <w:left w:w="108" w:type="dxa"/>
            <w:bottom w:w="0" w:type="dxa"/>
            <w:right w:w="108" w:type="dxa"/>
          </w:tblCellMar>
        </w:tblPrEx>
        <w:tc>
          <w:tcPr>
            <w:tcW w:w="4699" w:type="dxa"/>
          </w:tcPr>
          <w:p>
            <w:pPr>
              <w:spacing w:line="360" w:lineRule="auto"/>
              <w:rPr>
                <w:rFonts w:ascii="宋体" w:hAnsi="宋体" w:eastAsia="宋体" w:cs="宋体"/>
              </w:rPr>
            </w:pPr>
            <w:r>
              <w:rPr>
                <w:rFonts w:hint="eastAsia" w:ascii="宋体" w:hAnsi="宋体" w:eastAsia="宋体" w:cs="宋体"/>
              </w:rPr>
              <w:t>账号：</w:t>
            </w:r>
          </w:p>
        </w:tc>
        <w:tc>
          <w:tcPr>
            <w:tcW w:w="4524" w:type="dxa"/>
          </w:tcPr>
          <w:p>
            <w:pPr>
              <w:spacing w:line="360" w:lineRule="auto"/>
              <w:rPr>
                <w:rFonts w:ascii="宋体" w:hAnsi="宋体" w:eastAsia="宋体" w:cs="宋体"/>
              </w:rPr>
            </w:pPr>
            <w:r>
              <w:rPr>
                <w:rFonts w:hint="eastAsia" w:ascii="宋体" w:hAnsi="宋体" w:eastAsia="宋体" w:cs="宋体"/>
              </w:rPr>
              <w:t>账号：</w:t>
            </w:r>
          </w:p>
        </w:tc>
      </w:tr>
      <w:tr>
        <w:tblPrEx>
          <w:tblCellMar>
            <w:top w:w="0" w:type="dxa"/>
            <w:left w:w="108" w:type="dxa"/>
            <w:bottom w:w="0" w:type="dxa"/>
            <w:right w:w="108" w:type="dxa"/>
          </w:tblCellMar>
        </w:tblPrEx>
        <w:tc>
          <w:tcPr>
            <w:tcW w:w="9223" w:type="dxa"/>
            <w:gridSpan w:val="2"/>
          </w:tcPr>
          <w:p>
            <w:pPr>
              <w:spacing w:line="360" w:lineRule="auto"/>
              <w:ind w:firstLine="2880" w:firstLineChars="1200"/>
              <w:jc w:val="both"/>
              <w:rPr>
                <w:rFonts w:ascii="宋体" w:hAnsi="宋体" w:eastAsia="宋体" w:cs="宋体"/>
              </w:rPr>
            </w:pPr>
            <w:r>
              <w:rPr>
                <w:rFonts w:hint="eastAsia" w:ascii="宋体" w:hAnsi="宋体" w:eastAsia="宋体" w:cs="宋体"/>
              </w:rPr>
              <w:t>日 期：     年     月     日</w:t>
            </w:r>
          </w:p>
        </w:tc>
      </w:tr>
    </w:tbl>
    <w:p>
      <w:pPr>
        <w:pStyle w:val="2"/>
        <w:tabs>
          <w:tab w:val="left" w:pos="0"/>
        </w:tabs>
        <w:spacing w:line="360" w:lineRule="auto"/>
        <w:ind w:firstLine="480" w:firstLineChars="200"/>
        <w:rPr>
          <w:rFonts w:ascii="宋体" w:hAnsi="宋体" w:eastAsia="宋体" w:cs="宋体"/>
          <w:sz w:val="24"/>
          <w:szCs w:val="24"/>
        </w:rPr>
      </w:pPr>
    </w:p>
    <w:p>
      <w:pPr>
        <w:ind w:firstLine="480" w:firstLineChars="200"/>
        <w:rPr>
          <w:rFonts w:ascii="time" w:hAnsi="time"/>
        </w:rPr>
        <w:sectPr>
          <w:pgSz w:w="11906" w:h="16838"/>
          <w:pgMar w:top="1134" w:right="1134" w:bottom="1134" w:left="1247" w:header="850" w:footer="992" w:gutter="0"/>
          <w:cols w:space="720" w:num="1"/>
        </w:sectPr>
      </w:pPr>
    </w:p>
    <w:p>
      <w:pPr>
        <w:pStyle w:val="9"/>
        <w:tabs>
          <w:tab w:val="left" w:pos="1119"/>
        </w:tabs>
        <w:spacing w:before="312"/>
        <w:ind w:right="12"/>
        <w:rPr>
          <w:rFonts w:ascii="宋体" w:hAnsi="宋体"/>
          <w:snapToGrid w:val="0"/>
          <w:kern w:val="0"/>
          <w:sz w:val="28"/>
          <w:szCs w:val="28"/>
        </w:rPr>
      </w:pPr>
      <w:r>
        <w:rPr>
          <w:rFonts w:hint="eastAsia" w:ascii="time" w:hAnsi="time"/>
        </w:rPr>
        <w:t>附件一</w:t>
      </w:r>
      <w:r>
        <w:rPr>
          <w:rFonts w:hint="eastAsia" w:ascii="time" w:hAnsi="time"/>
        </w:rPr>
        <w:tab/>
      </w:r>
      <w:r>
        <w:rPr>
          <w:rFonts w:ascii="time" w:hAnsi="time"/>
        </w:rPr>
        <w:t>廉政协议书</w:t>
      </w:r>
    </w:p>
    <w:p>
      <w:pPr>
        <w:pStyle w:val="199"/>
        <w:adjustRightInd w:val="0"/>
        <w:spacing w:before="0" w:afterLines="0"/>
        <w:rPr>
          <w:rFonts w:ascii="宋体" w:hAnsi="宋体" w:eastAsia="宋体" w:cs="Times New Roman"/>
          <w:b/>
          <w:snapToGrid w:val="0"/>
          <w:kern w:val="0"/>
          <w:sz w:val="32"/>
          <w:szCs w:val="32"/>
        </w:rPr>
      </w:pPr>
      <w:r>
        <w:rPr>
          <w:rFonts w:ascii="宋体" w:hAnsi="宋体" w:eastAsia="宋体" w:cs="Times New Roman"/>
          <w:b/>
          <w:snapToGrid w:val="0"/>
          <w:kern w:val="0"/>
          <w:sz w:val="32"/>
          <w:szCs w:val="32"/>
        </w:rPr>
        <w:t>廉政协议书</w:t>
      </w:r>
    </w:p>
    <w:p>
      <w:pPr>
        <w:pStyle w:val="2"/>
        <w:tabs>
          <w:tab w:val="left" w:pos="0"/>
          <w:tab w:val="left" w:pos="3544"/>
          <w:tab w:val="left" w:pos="3686"/>
        </w:tabs>
        <w:adjustRightInd/>
        <w:snapToGrid w:val="0"/>
        <w:spacing w:before="40" w:line="360" w:lineRule="auto"/>
        <w:ind w:left="118" w:right="3741"/>
        <w:jc w:val="both"/>
        <w:rPr>
          <w:rFonts w:ascii="宋体" w:hAnsi="宋体" w:eastAsia="宋体" w:cs="宋体"/>
          <w:sz w:val="24"/>
          <w:szCs w:val="24"/>
          <w:u w:val="single"/>
        </w:rPr>
      </w:pPr>
      <w:r>
        <w:rPr>
          <w:rFonts w:hint="eastAsia" w:ascii="宋体" w:hAnsi="宋体" w:eastAsia="宋体" w:cs="宋体"/>
          <w:sz w:val="24"/>
          <w:szCs w:val="24"/>
        </w:rPr>
        <w:t>甲方：</w:t>
      </w:r>
      <w:r>
        <w:rPr>
          <w:rFonts w:hint="eastAsia" w:ascii="宋体" w:hAnsi="宋体" w:eastAsia="宋体" w:cs="宋体"/>
          <w:sz w:val="24"/>
          <w:szCs w:val="24"/>
          <w:u w:val="single"/>
        </w:rPr>
        <w:t xml:space="preserve">四川省能投攀枝花水电开发有限公司 </w:t>
      </w:r>
    </w:p>
    <w:p>
      <w:pPr>
        <w:pStyle w:val="2"/>
        <w:tabs>
          <w:tab w:val="left" w:pos="0"/>
          <w:tab w:val="left" w:pos="4980"/>
        </w:tabs>
        <w:adjustRightInd/>
        <w:snapToGrid w:val="0"/>
        <w:spacing w:before="40" w:line="360" w:lineRule="auto"/>
        <w:ind w:left="118" w:right="3741"/>
        <w:jc w:val="both"/>
        <w:rPr>
          <w:rFonts w:ascii="宋体" w:hAnsi="宋体" w:eastAsia="宋体" w:cs="Times New Roman"/>
          <w:b/>
          <w:snapToGrid w:val="0"/>
          <w:sz w:val="32"/>
          <w:szCs w:val="32"/>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根据国家相关法律法规以及有关廉政建设的规定，为做好党风廉政建设，保证</w:t>
      </w:r>
      <w:r>
        <w:rPr>
          <w:rFonts w:hint="eastAsia" w:ascii="宋体" w:hAnsi="宋体" w:eastAsia="宋体"/>
          <w:szCs w:val="21"/>
        </w:rPr>
        <w:t>本项目</w:t>
      </w:r>
      <w:r>
        <w:rPr>
          <w:rFonts w:ascii="宋体" w:hAnsi="宋体" w:eastAsia="宋体"/>
          <w:szCs w:val="21"/>
        </w:rPr>
        <w:t>的高效优质，保证资金的安全和有效使用以及投资效益，特订立本协议书。</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 xml:space="preserve">第一条  </w:t>
      </w:r>
      <w:r>
        <w:rPr>
          <w:rFonts w:hint="eastAsia" w:ascii="宋体" w:hAnsi="宋体" w:eastAsia="宋体"/>
          <w:szCs w:val="21"/>
        </w:rPr>
        <w:t>甲乙</w:t>
      </w:r>
      <w:r>
        <w:rPr>
          <w:rFonts w:ascii="宋体" w:hAnsi="宋体" w:eastAsia="宋体"/>
          <w:szCs w:val="21"/>
        </w:rPr>
        <w:t>双方的权利和义务</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1．严格遵守党和国家有关法律法规以及行业有关规定。</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2．严格执行</w:t>
      </w:r>
      <w:r>
        <w:rPr>
          <w:rFonts w:hint="eastAsia" w:ascii="宋体" w:hAnsi="宋体" w:eastAsia="宋体"/>
          <w:szCs w:val="21"/>
        </w:rPr>
        <w:t>合同</w:t>
      </w:r>
      <w:r>
        <w:rPr>
          <w:rFonts w:ascii="宋体" w:hAnsi="宋体" w:eastAsia="宋体"/>
          <w:szCs w:val="21"/>
        </w:rPr>
        <w:t>，自觉按合同办事。</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3．双方的业务及活动坚持公开、公正、诚信、透明的原则(除法律认定的商业秘密和合同文件另有规定之外)，不得损害国家和集体利益，不得违反工程建设的有关管理规章制度。</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4．建立健全廉政制度，开展廉政教育，公布廉政告示举报电话，监督并认真查处违法违纪行为。</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5．发现对方在业务活动中有违反廉政规定的行为，有及时提醒对方纠正的权利和义务。</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6．发现对方严重违反本协议书条款的行为，有向其上级有关部门举报、建议给予处理并要求告知处理结果的权利。</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 xml:space="preserve">第二条  </w:t>
      </w:r>
      <w:r>
        <w:rPr>
          <w:rFonts w:hint="eastAsia" w:ascii="宋体" w:hAnsi="宋体" w:eastAsia="宋体"/>
          <w:szCs w:val="21"/>
        </w:rPr>
        <w:t>甲方</w:t>
      </w:r>
      <w:r>
        <w:rPr>
          <w:rFonts w:ascii="宋体" w:hAnsi="宋体" w:eastAsia="宋体"/>
          <w:szCs w:val="21"/>
        </w:rPr>
        <w:t>的义务</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1．</w:t>
      </w:r>
      <w:r>
        <w:rPr>
          <w:rFonts w:hint="eastAsia" w:ascii="宋体" w:hAnsi="宋体" w:eastAsia="宋体"/>
          <w:szCs w:val="21"/>
        </w:rPr>
        <w:t>甲方</w:t>
      </w:r>
      <w:r>
        <w:rPr>
          <w:rFonts w:ascii="宋体" w:hAnsi="宋体" w:eastAsia="宋体"/>
          <w:szCs w:val="21"/>
        </w:rPr>
        <w:t>工作人员不得索要或接受</w:t>
      </w:r>
      <w:r>
        <w:rPr>
          <w:rFonts w:hint="eastAsia" w:ascii="宋体" w:hAnsi="宋体" w:eastAsia="宋体"/>
          <w:szCs w:val="21"/>
        </w:rPr>
        <w:t>乙方</w:t>
      </w:r>
      <w:r>
        <w:rPr>
          <w:rFonts w:ascii="宋体" w:hAnsi="宋体" w:eastAsia="宋体"/>
          <w:szCs w:val="21"/>
        </w:rPr>
        <w:t>的礼金、有价证券和贵重物品，不得在</w:t>
      </w:r>
      <w:r>
        <w:rPr>
          <w:rFonts w:hint="eastAsia" w:ascii="宋体" w:hAnsi="宋体" w:eastAsia="宋体"/>
          <w:szCs w:val="21"/>
        </w:rPr>
        <w:t>乙方</w:t>
      </w:r>
      <w:r>
        <w:rPr>
          <w:rFonts w:ascii="宋体" w:hAnsi="宋体" w:eastAsia="宋体"/>
          <w:szCs w:val="21"/>
        </w:rPr>
        <w:t>处报销任何应由</w:t>
      </w:r>
      <w:r>
        <w:rPr>
          <w:rFonts w:hint="eastAsia" w:ascii="宋体" w:hAnsi="宋体" w:eastAsia="宋体"/>
          <w:szCs w:val="21"/>
        </w:rPr>
        <w:t>甲方</w:t>
      </w:r>
      <w:r>
        <w:rPr>
          <w:rFonts w:ascii="宋体" w:hAnsi="宋体" w:eastAsia="宋体"/>
          <w:szCs w:val="21"/>
        </w:rPr>
        <w:t>或个人支付的费用等。</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2．</w:t>
      </w:r>
      <w:r>
        <w:rPr>
          <w:rFonts w:hint="eastAsia" w:ascii="宋体" w:hAnsi="宋体" w:eastAsia="宋体"/>
          <w:szCs w:val="21"/>
        </w:rPr>
        <w:t>甲方</w:t>
      </w:r>
      <w:r>
        <w:rPr>
          <w:rFonts w:ascii="宋体" w:hAnsi="宋体" w:eastAsia="宋体"/>
          <w:szCs w:val="21"/>
        </w:rPr>
        <w:t>工作人员不得参加</w:t>
      </w:r>
      <w:r>
        <w:rPr>
          <w:rFonts w:hint="eastAsia" w:ascii="宋体" w:hAnsi="宋体" w:eastAsia="宋体"/>
          <w:szCs w:val="21"/>
        </w:rPr>
        <w:t>乙方</w:t>
      </w:r>
      <w:r>
        <w:rPr>
          <w:rFonts w:ascii="宋体" w:hAnsi="宋体" w:eastAsia="宋体"/>
          <w:szCs w:val="21"/>
        </w:rPr>
        <w:t>安排的超标准宴请和娱乐活动；不得接受</w:t>
      </w:r>
      <w:r>
        <w:rPr>
          <w:rFonts w:hint="eastAsia" w:ascii="宋体" w:hAnsi="宋体" w:eastAsia="宋体"/>
          <w:szCs w:val="21"/>
        </w:rPr>
        <w:t>乙方</w:t>
      </w:r>
      <w:r>
        <w:rPr>
          <w:rFonts w:ascii="宋体" w:hAnsi="宋体" w:eastAsia="宋体"/>
          <w:szCs w:val="21"/>
        </w:rPr>
        <w:t>提供的通讯工具、交通工具和高档办公用品等。</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3．</w:t>
      </w:r>
      <w:r>
        <w:rPr>
          <w:rFonts w:hint="eastAsia" w:ascii="宋体" w:hAnsi="宋体" w:eastAsia="宋体"/>
          <w:szCs w:val="21"/>
        </w:rPr>
        <w:t>甲方</w:t>
      </w:r>
      <w:r>
        <w:rPr>
          <w:rFonts w:ascii="宋体" w:hAnsi="宋体" w:eastAsia="宋体"/>
          <w:szCs w:val="21"/>
        </w:rPr>
        <w:t>工作人员不得要求或者接受</w:t>
      </w:r>
      <w:r>
        <w:rPr>
          <w:rFonts w:hint="eastAsia" w:ascii="宋体" w:hAnsi="宋体" w:eastAsia="宋体"/>
          <w:szCs w:val="21"/>
        </w:rPr>
        <w:t>乙方</w:t>
      </w:r>
      <w:r>
        <w:rPr>
          <w:rFonts w:ascii="宋体" w:hAnsi="宋体" w:eastAsia="宋体"/>
          <w:szCs w:val="21"/>
        </w:rPr>
        <w:t>为其住房装修、婚丧嫁娶活动、配偶子女的工作安排以及出国出境、旅游提供方便等。</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4．</w:t>
      </w:r>
      <w:r>
        <w:rPr>
          <w:rFonts w:hint="eastAsia" w:ascii="宋体" w:hAnsi="宋体" w:eastAsia="宋体"/>
          <w:szCs w:val="21"/>
        </w:rPr>
        <w:t>甲方</w:t>
      </w:r>
      <w:r>
        <w:rPr>
          <w:rFonts w:ascii="宋体" w:hAnsi="宋体" w:eastAsia="宋体"/>
          <w:szCs w:val="21"/>
        </w:rPr>
        <w:t>工作人员及其配偶、子女不得从事与</w:t>
      </w:r>
      <w:r>
        <w:rPr>
          <w:rFonts w:hint="eastAsia" w:ascii="宋体" w:hAnsi="宋体" w:eastAsia="宋体"/>
          <w:szCs w:val="21"/>
        </w:rPr>
        <w:t>乙方</w:t>
      </w:r>
      <w:r>
        <w:rPr>
          <w:rFonts w:ascii="宋体" w:hAnsi="宋体" w:eastAsia="宋体"/>
          <w:szCs w:val="21"/>
        </w:rPr>
        <w:t>施工合同有关的经济活动。</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 xml:space="preserve">第三条  </w:t>
      </w:r>
      <w:r>
        <w:rPr>
          <w:rFonts w:hint="eastAsia" w:ascii="宋体" w:hAnsi="宋体" w:eastAsia="宋体"/>
          <w:szCs w:val="21"/>
        </w:rPr>
        <w:t>乙方</w:t>
      </w:r>
      <w:r>
        <w:rPr>
          <w:rFonts w:ascii="宋体" w:hAnsi="宋体" w:eastAsia="宋体"/>
          <w:szCs w:val="21"/>
        </w:rPr>
        <w:t>的义务</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1．</w:t>
      </w:r>
      <w:r>
        <w:rPr>
          <w:rFonts w:hint="eastAsia" w:ascii="宋体" w:hAnsi="宋体" w:eastAsia="宋体"/>
          <w:szCs w:val="21"/>
        </w:rPr>
        <w:t>乙方</w:t>
      </w:r>
      <w:r>
        <w:rPr>
          <w:rFonts w:ascii="宋体" w:hAnsi="宋体" w:eastAsia="宋体"/>
          <w:szCs w:val="21"/>
        </w:rPr>
        <w:t>不得向</w:t>
      </w:r>
      <w:r>
        <w:rPr>
          <w:rFonts w:hint="eastAsia" w:ascii="宋体" w:hAnsi="宋体" w:eastAsia="宋体"/>
          <w:szCs w:val="21"/>
        </w:rPr>
        <w:t>甲方</w:t>
      </w:r>
      <w:r>
        <w:rPr>
          <w:rFonts w:ascii="宋体" w:hAnsi="宋体" w:eastAsia="宋体"/>
          <w:szCs w:val="21"/>
        </w:rPr>
        <w:t>工作人员行贿，不得以任何理由向</w:t>
      </w:r>
      <w:r>
        <w:rPr>
          <w:rFonts w:hint="eastAsia" w:ascii="宋体" w:hAnsi="宋体" w:eastAsia="宋体"/>
          <w:szCs w:val="21"/>
        </w:rPr>
        <w:t>甲方</w:t>
      </w:r>
      <w:r>
        <w:rPr>
          <w:rFonts w:ascii="宋体" w:hAnsi="宋体" w:eastAsia="宋体"/>
          <w:szCs w:val="21"/>
        </w:rPr>
        <w:t>工作人员馈赠礼金、有价证券、贵重礼品。</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2．</w:t>
      </w:r>
      <w:r>
        <w:rPr>
          <w:rFonts w:hint="eastAsia" w:ascii="宋体" w:hAnsi="宋体" w:eastAsia="宋体"/>
          <w:szCs w:val="21"/>
        </w:rPr>
        <w:t>乙方</w:t>
      </w:r>
      <w:r>
        <w:rPr>
          <w:rFonts w:ascii="宋体" w:hAnsi="宋体" w:eastAsia="宋体"/>
          <w:szCs w:val="21"/>
        </w:rPr>
        <w:t>不得以任何名义为</w:t>
      </w:r>
      <w:r>
        <w:rPr>
          <w:rFonts w:hint="eastAsia" w:ascii="宋体" w:hAnsi="宋体" w:eastAsia="宋体"/>
          <w:szCs w:val="21"/>
        </w:rPr>
        <w:t>甲方</w:t>
      </w:r>
      <w:r>
        <w:rPr>
          <w:rFonts w:ascii="宋体" w:hAnsi="宋体" w:eastAsia="宋体"/>
          <w:szCs w:val="21"/>
        </w:rPr>
        <w:t>工作人员报销应由</w:t>
      </w:r>
      <w:r>
        <w:rPr>
          <w:rFonts w:hint="eastAsia" w:ascii="宋体" w:hAnsi="宋体" w:eastAsia="宋体"/>
          <w:szCs w:val="21"/>
        </w:rPr>
        <w:t>甲方</w:t>
      </w:r>
      <w:r>
        <w:rPr>
          <w:rFonts w:ascii="宋体" w:hAnsi="宋体" w:eastAsia="宋体"/>
          <w:szCs w:val="21"/>
        </w:rPr>
        <w:t>单位或个人支付的任何费用。</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3．</w:t>
      </w:r>
      <w:r>
        <w:rPr>
          <w:rFonts w:hint="eastAsia" w:ascii="宋体" w:hAnsi="宋体" w:eastAsia="宋体"/>
          <w:szCs w:val="21"/>
        </w:rPr>
        <w:t>乙方</w:t>
      </w:r>
      <w:r>
        <w:rPr>
          <w:rFonts w:ascii="宋体" w:hAnsi="宋体" w:eastAsia="宋体"/>
          <w:szCs w:val="21"/>
        </w:rPr>
        <w:t>不得以任何理由安排</w:t>
      </w:r>
      <w:r>
        <w:rPr>
          <w:rFonts w:hint="eastAsia" w:ascii="宋体" w:hAnsi="宋体" w:eastAsia="宋体"/>
          <w:szCs w:val="21"/>
        </w:rPr>
        <w:t>甲方</w:t>
      </w:r>
      <w:r>
        <w:rPr>
          <w:rFonts w:ascii="宋体" w:hAnsi="宋体" w:eastAsia="宋体"/>
          <w:szCs w:val="21"/>
        </w:rPr>
        <w:t>工作人员参加超标准宴请和娱乐活动。</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4．</w:t>
      </w:r>
      <w:r>
        <w:rPr>
          <w:rFonts w:hint="eastAsia" w:ascii="宋体" w:hAnsi="宋体" w:eastAsia="宋体"/>
          <w:szCs w:val="21"/>
        </w:rPr>
        <w:t>乙方</w:t>
      </w:r>
      <w:r>
        <w:rPr>
          <w:rFonts w:ascii="宋体" w:hAnsi="宋体" w:eastAsia="宋体"/>
          <w:szCs w:val="21"/>
        </w:rPr>
        <w:t>不得为</w:t>
      </w:r>
      <w:r>
        <w:rPr>
          <w:rFonts w:hint="eastAsia" w:ascii="宋体" w:hAnsi="宋体" w:eastAsia="宋体"/>
          <w:szCs w:val="21"/>
        </w:rPr>
        <w:t>甲方</w:t>
      </w:r>
      <w:r>
        <w:rPr>
          <w:rFonts w:ascii="宋体" w:hAnsi="宋体" w:eastAsia="宋体"/>
          <w:szCs w:val="21"/>
        </w:rPr>
        <w:t>工作人员购置或提供通讯工具、交通工具和高档办公品等。</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第四条  违约责任</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1．</w:t>
      </w:r>
      <w:r>
        <w:rPr>
          <w:rFonts w:hint="eastAsia" w:ascii="宋体" w:hAnsi="宋体" w:eastAsia="宋体"/>
          <w:szCs w:val="21"/>
        </w:rPr>
        <w:t>甲方</w:t>
      </w:r>
      <w:r>
        <w:rPr>
          <w:rFonts w:ascii="宋体" w:hAnsi="宋体" w:eastAsia="宋体"/>
          <w:szCs w:val="21"/>
        </w:rPr>
        <w:t>及其工作人员违反本协议第一、二条，按管理权限，依据有关规定给予党纪、政纪或组织处理；涉嫌犯罪的，移交司法机关追究刑事责任；给</w:t>
      </w:r>
      <w:r>
        <w:rPr>
          <w:rFonts w:hint="eastAsia" w:ascii="宋体" w:hAnsi="宋体" w:eastAsia="宋体"/>
          <w:szCs w:val="21"/>
        </w:rPr>
        <w:t>乙方</w:t>
      </w:r>
      <w:r>
        <w:rPr>
          <w:rFonts w:ascii="宋体" w:hAnsi="宋体" w:eastAsia="宋体"/>
          <w:szCs w:val="21"/>
        </w:rPr>
        <w:t>单位造成经济损失的，应予以赔偿。</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2．</w:t>
      </w:r>
      <w:r>
        <w:rPr>
          <w:rFonts w:hint="eastAsia" w:ascii="宋体" w:hAnsi="宋体" w:eastAsia="宋体"/>
          <w:szCs w:val="21"/>
        </w:rPr>
        <w:t>乙方</w:t>
      </w:r>
      <w:r>
        <w:rPr>
          <w:rFonts w:ascii="宋体" w:hAnsi="宋体" w:eastAsia="宋体"/>
          <w:szCs w:val="21"/>
        </w:rPr>
        <w:t>及其工作人员违反本协议第一、三条，按管理权限，依据有关规定给予党纪、政纪或组织处理；给</w:t>
      </w:r>
      <w:r>
        <w:rPr>
          <w:rFonts w:hint="eastAsia" w:ascii="宋体" w:hAnsi="宋体" w:eastAsia="宋体"/>
          <w:szCs w:val="21"/>
        </w:rPr>
        <w:t>甲方</w:t>
      </w:r>
      <w:r>
        <w:rPr>
          <w:rFonts w:ascii="宋体" w:hAnsi="宋体" w:eastAsia="宋体"/>
          <w:szCs w:val="21"/>
        </w:rPr>
        <w:t>单位造成经济损失的，应予以赔偿；情节严重的，</w:t>
      </w:r>
      <w:r>
        <w:rPr>
          <w:rFonts w:hint="eastAsia" w:ascii="宋体" w:hAnsi="宋体" w:eastAsia="宋体"/>
          <w:szCs w:val="21"/>
        </w:rPr>
        <w:t>甲方</w:t>
      </w:r>
      <w:r>
        <w:rPr>
          <w:rFonts w:ascii="宋体" w:hAnsi="宋体" w:eastAsia="宋体"/>
          <w:szCs w:val="21"/>
        </w:rPr>
        <w:t>将建议主管部门给予</w:t>
      </w:r>
      <w:r>
        <w:rPr>
          <w:rFonts w:hint="eastAsia" w:ascii="宋体" w:hAnsi="宋体" w:eastAsia="宋体"/>
          <w:szCs w:val="21"/>
        </w:rPr>
        <w:t>乙方</w:t>
      </w:r>
      <w:r>
        <w:rPr>
          <w:rFonts w:ascii="宋体" w:hAnsi="宋体" w:eastAsia="宋体"/>
          <w:szCs w:val="21"/>
        </w:rPr>
        <w:t>一至三年内不得进入其主管的市场的处罚。</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第五条</w:t>
      </w:r>
      <w:r>
        <w:rPr>
          <w:rFonts w:hint="eastAsia" w:ascii="宋体" w:hAnsi="宋体" w:eastAsia="宋体"/>
          <w:szCs w:val="21"/>
        </w:rPr>
        <w:t xml:space="preserve"> </w:t>
      </w:r>
      <w:r>
        <w:rPr>
          <w:rFonts w:ascii="宋体" w:hAnsi="宋体" w:eastAsia="宋体"/>
          <w:szCs w:val="21"/>
        </w:rPr>
        <w:t>本协议书作为</w:t>
      </w:r>
      <w:r>
        <w:rPr>
          <w:rFonts w:hAnsi="宋体" w:eastAsia="宋体"/>
          <w:u w:val="single"/>
        </w:rPr>
        <w:t>金沙水电站竣工环境保护验收</w:t>
      </w:r>
      <w:r>
        <w:rPr>
          <w:rFonts w:hint="eastAsia" w:hAnsi="宋体" w:eastAsia="宋体"/>
          <w:u w:val="single"/>
        </w:rPr>
        <w:t>及陆生生态调查技术</w:t>
      </w:r>
      <w:r>
        <w:rPr>
          <w:rFonts w:hAnsi="宋体" w:eastAsia="宋体"/>
          <w:u w:val="single"/>
        </w:rPr>
        <w:t>服务</w:t>
      </w:r>
      <w:r>
        <w:rPr>
          <w:rFonts w:hint="eastAsia" w:hAnsi="宋体" w:eastAsia="宋体"/>
        </w:rPr>
        <w:t>（合同编号：PZH-JS-QT-247）</w:t>
      </w:r>
      <w:r>
        <w:rPr>
          <w:rFonts w:hint="eastAsia" w:ascii="宋体" w:hAnsi="宋体" w:eastAsia="宋体"/>
          <w:szCs w:val="21"/>
        </w:rPr>
        <w:t>合同</w:t>
      </w:r>
      <w:r>
        <w:rPr>
          <w:rFonts w:ascii="宋体" w:hAnsi="宋体" w:eastAsia="宋体"/>
          <w:szCs w:val="21"/>
        </w:rPr>
        <w:t>附件，与合同具有同等的法律效力。</w:t>
      </w:r>
    </w:p>
    <w:p>
      <w:pPr>
        <w:spacing w:line="360" w:lineRule="auto"/>
        <w:ind w:firstLine="482"/>
        <w:rPr>
          <w:rFonts w:eastAsia="宋体"/>
          <w:bCs/>
          <w:snapToGrid w:val="0"/>
        </w:rPr>
      </w:pPr>
    </w:p>
    <w:p>
      <w:pPr>
        <w:spacing w:line="360" w:lineRule="auto"/>
        <w:ind w:firstLine="482"/>
      </w:pPr>
      <w:r>
        <w:rPr>
          <w:rFonts w:eastAsia="宋体"/>
          <w:bCs/>
          <w:snapToGrid w:val="0"/>
        </w:rPr>
        <w:t>（签署栏）</w:t>
      </w:r>
    </w:p>
    <w:tbl>
      <w:tblPr>
        <w:tblStyle w:val="48"/>
        <w:tblW w:w="0" w:type="auto"/>
        <w:tblInd w:w="0" w:type="dxa"/>
        <w:tblLayout w:type="fixed"/>
        <w:tblCellMar>
          <w:top w:w="0" w:type="dxa"/>
          <w:left w:w="108" w:type="dxa"/>
          <w:bottom w:w="0" w:type="dxa"/>
          <w:right w:w="108" w:type="dxa"/>
        </w:tblCellMar>
      </w:tblPr>
      <w:tblGrid>
        <w:gridCol w:w="4530"/>
        <w:gridCol w:w="4655"/>
      </w:tblGrid>
      <w:tr>
        <w:tblPrEx>
          <w:tblCellMar>
            <w:top w:w="0" w:type="dxa"/>
            <w:left w:w="108" w:type="dxa"/>
            <w:bottom w:w="0" w:type="dxa"/>
            <w:right w:w="108" w:type="dxa"/>
          </w:tblCellMar>
        </w:tblPrEx>
        <w:trPr>
          <w:trHeight w:val="1081" w:hRule="atLeast"/>
        </w:trPr>
        <w:tc>
          <w:tcPr>
            <w:tcW w:w="4530" w:type="dxa"/>
          </w:tcPr>
          <w:p>
            <w:pPr>
              <w:tabs>
                <w:tab w:val="left" w:pos="4800"/>
              </w:tabs>
              <w:spacing w:line="360" w:lineRule="auto"/>
              <w:rPr>
                <w:rFonts w:eastAsia="宋体"/>
                <w:u w:val="single"/>
              </w:rPr>
            </w:pPr>
            <w:r>
              <w:rPr>
                <w:rFonts w:eastAsia="宋体"/>
              </w:rPr>
              <w:t>甲方：</w:t>
            </w:r>
          </w:p>
        </w:tc>
        <w:tc>
          <w:tcPr>
            <w:tcW w:w="4655" w:type="dxa"/>
          </w:tcPr>
          <w:p>
            <w:pPr>
              <w:tabs>
                <w:tab w:val="left" w:pos="4800"/>
              </w:tabs>
              <w:spacing w:line="360" w:lineRule="auto"/>
              <w:rPr>
                <w:rFonts w:eastAsia="宋体"/>
              </w:rPr>
            </w:pPr>
            <w:r>
              <w:rPr>
                <w:rFonts w:eastAsia="宋体"/>
              </w:rPr>
              <w:t>乙方：</w:t>
            </w:r>
          </w:p>
          <w:p>
            <w:pPr>
              <w:tabs>
                <w:tab w:val="left" w:pos="4800"/>
              </w:tabs>
              <w:spacing w:line="360" w:lineRule="auto"/>
              <w:rPr>
                <w:rFonts w:eastAsia="宋体"/>
                <w:u w:val="single"/>
              </w:rPr>
            </w:pPr>
            <w:r>
              <w:rPr>
                <w:rFonts w:eastAsia="宋体"/>
              </w:rPr>
              <w:t xml:space="preserve">                                                  </w:t>
            </w:r>
          </w:p>
        </w:tc>
      </w:tr>
      <w:tr>
        <w:tblPrEx>
          <w:tblCellMar>
            <w:top w:w="0" w:type="dxa"/>
            <w:left w:w="108" w:type="dxa"/>
            <w:bottom w:w="0" w:type="dxa"/>
            <w:right w:w="108" w:type="dxa"/>
          </w:tblCellMar>
        </w:tblPrEx>
        <w:trPr>
          <w:trHeight w:val="746" w:hRule="atLeast"/>
        </w:trPr>
        <w:tc>
          <w:tcPr>
            <w:tcW w:w="4530" w:type="dxa"/>
          </w:tcPr>
          <w:p>
            <w:pPr>
              <w:tabs>
                <w:tab w:val="left" w:pos="4800"/>
              </w:tabs>
              <w:spacing w:line="360" w:lineRule="auto"/>
              <w:rPr>
                <w:rFonts w:eastAsia="宋体"/>
              </w:rPr>
            </w:pPr>
            <w:r>
              <w:rPr>
                <w:rFonts w:eastAsia="宋体"/>
              </w:rPr>
              <w:t>法定代表人</w:t>
            </w:r>
            <w:r>
              <w:rPr>
                <w:rFonts w:eastAsia="宋体"/>
              </w:rPr>
              <w:tab/>
            </w:r>
            <w:r>
              <w:rPr>
                <w:rFonts w:eastAsia="宋体"/>
              </w:rPr>
              <w:tab/>
            </w:r>
            <w:r>
              <w:rPr>
                <w:rFonts w:eastAsia="宋体"/>
              </w:rPr>
              <w:tab/>
            </w:r>
          </w:p>
          <w:p>
            <w:pPr>
              <w:spacing w:line="360" w:lineRule="auto"/>
              <w:rPr>
                <w:rFonts w:eastAsia="宋体"/>
              </w:rPr>
            </w:pPr>
            <w:r>
              <w:rPr>
                <w:rFonts w:eastAsia="宋体"/>
              </w:rPr>
              <w:t>(或委托代理人)：</w:t>
            </w:r>
          </w:p>
        </w:tc>
        <w:tc>
          <w:tcPr>
            <w:tcW w:w="4655" w:type="dxa"/>
          </w:tcPr>
          <w:p>
            <w:pPr>
              <w:tabs>
                <w:tab w:val="left" w:pos="4800"/>
              </w:tabs>
              <w:spacing w:line="360" w:lineRule="auto"/>
              <w:rPr>
                <w:rFonts w:eastAsia="宋体"/>
              </w:rPr>
            </w:pPr>
            <w:r>
              <w:rPr>
                <w:rFonts w:eastAsia="宋体"/>
              </w:rPr>
              <w:t>法定代表人</w:t>
            </w:r>
            <w:r>
              <w:rPr>
                <w:rFonts w:eastAsia="宋体"/>
              </w:rPr>
              <w:tab/>
            </w:r>
            <w:r>
              <w:rPr>
                <w:rFonts w:eastAsia="宋体"/>
              </w:rPr>
              <w:tab/>
            </w:r>
            <w:r>
              <w:rPr>
                <w:rFonts w:eastAsia="宋体"/>
              </w:rPr>
              <w:tab/>
            </w:r>
          </w:p>
          <w:p>
            <w:pPr>
              <w:spacing w:line="360" w:lineRule="auto"/>
              <w:rPr>
                <w:rFonts w:eastAsia="宋体"/>
              </w:rPr>
            </w:pPr>
            <w:r>
              <w:rPr>
                <w:rFonts w:eastAsia="宋体"/>
              </w:rPr>
              <w:t>(或委托代理人)：</w:t>
            </w:r>
          </w:p>
        </w:tc>
      </w:tr>
      <w:tr>
        <w:tblPrEx>
          <w:tblCellMar>
            <w:top w:w="0" w:type="dxa"/>
            <w:left w:w="108" w:type="dxa"/>
            <w:bottom w:w="0" w:type="dxa"/>
            <w:right w:w="108" w:type="dxa"/>
          </w:tblCellMar>
        </w:tblPrEx>
        <w:tc>
          <w:tcPr>
            <w:tcW w:w="9185" w:type="dxa"/>
            <w:gridSpan w:val="2"/>
          </w:tcPr>
          <w:p>
            <w:pPr>
              <w:spacing w:line="360" w:lineRule="auto"/>
              <w:jc w:val="center"/>
              <w:rPr>
                <w:rFonts w:eastAsia="宋体"/>
              </w:rPr>
            </w:pPr>
            <w:r>
              <w:rPr>
                <w:rFonts w:hint="eastAsia" w:eastAsia="宋体"/>
              </w:rPr>
              <w:t>日 期：       年       月       日</w:t>
            </w:r>
          </w:p>
        </w:tc>
      </w:tr>
    </w:tbl>
    <w:p>
      <w:pPr>
        <w:widowControl/>
        <w:autoSpaceDE/>
        <w:autoSpaceDN/>
        <w:adjustRightInd/>
        <w:rPr>
          <w:rFonts w:ascii="宋体" w:hAnsi="宋体" w:eastAsia="宋体"/>
          <w:snapToGrid w:val="0"/>
        </w:rPr>
      </w:pPr>
      <w:r>
        <w:rPr>
          <w:rFonts w:ascii="宋体" w:hAnsi="宋体" w:eastAsia="宋体"/>
          <w:snapToGrid w:val="0"/>
        </w:rPr>
        <w:br w:type="page"/>
      </w:r>
    </w:p>
    <w:p>
      <w:pPr>
        <w:ind w:firstLine="482"/>
        <w:rPr>
          <w:rFonts w:ascii="宋体" w:hAnsi="宋体" w:eastAsia="宋体"/>
          <w:snapToGrid w:val="0"/>
        </w:rPr>
      </w:pPr>
    </w:p>
    <w:p>
      <w:pPr>
        <w:pStyle w:val="9"/>
        <w:tabs>
          <w:tab w:val="left" w:pos="1119"/>
        </w:tabs>
        <w:spacing w:before="312"/>
        <w:ind w:right="12"/>
        <w:rPr>
          <w:rFonts w:ascii="宋体" w:hAnsi="宋体"/>
          <w:snapToGrid w:val="0"/>
          <w:kern w:val="0"/>
          <w:sz w:val="28"/>
          <w:szCs w:val="28"/>
        </w:rPr>
      </w:pPr>
      <w:r>
        <w:rPr>
          <w:rFonts w:hint="eastAsia" w:ascii="time" w:hAnsi="time"/>
        </w:rPr>
        <w:t>附件二</w:t>
      </w:r>
      <w:r>
        <w:rPr>
          <w:rFonts w:hint="eastAsia" w:ascii="time" w:hAnsi="time"/>
        </w:rPr>
        <w:tab/>
      </w:r>
      <w:r>
        <w:rPr>
          <w:rFonts w:hint="eastAsia" w:ascii="time" w:hAnsi="time"/>
        </w:rPr>
        <w:t>安全生产</w:t>
      </w:r>
      <w:r>
        <w:rPr>
          <w:rFonts w:ascii="time" w:hAnsi="time"/>
        </w:rPr>
        <w:t>协议书</w:t>
      </w:r>
    </w:p>
    <w:p>
      <w:pPr>
        <w:keepNext/>
        <w:snapToGrid w:val="0"/>
        <w:spacing w:beforeLines="20" w:line="360" w:lineRule="auto"/>
        <w:jc w:val="center"/>
        <w:rPr>
          <w:rStyle w:val="105"/>
          <w:b/>
          <w:bCs/>
          <w:sz w:val="32"/>
          <w:szCs w:val="32"/>
        </w:rPr>
      </w:pPr>
      <w:r>
        <w:rPr>
          <w:rStyle w:val="105"/>
          <w:b/>
          <w:bCs/>
          <w:sz w:val="32"/>
          <w:szCs w:val="32"/>
        </w:rPr>
        <w:t>安全</w:t>
      </w:r>
      <w:r>
        <w:rPr>
          <w:rStyle w:val="105"/>
          <w:rFonts w:hint="eastAsia"/>
          <w:b/>
          <w:bCs/>
          <w:sz w:val="32"/>
          <w:szCs w:val="32"/>
        </w:rPr>
        <w:t>生产</w:t>
      </w:r>
      <w:r>
        <w:rPr>
          <w:rStyle w:val="105"/>
          <w:b/>
          <w:bCs/>
          <w:sz w:val="32"/>
          <w:szCs w:val="32"/>
        </w:rPr>
        <w:t>协议书</w:t>
      </w:r>
    </w:p>
    <w:p>
      <w:pPr>
        <w:pStyle w:val="2"/>
        <w:tabs>
          <w:tab w:val="left" w:pos="0"/>
          <w:tab w:val="left" w:pos="3544"/>
          <w:tab w:val="left" w:pos="3686"/>
        </w:tabs>
        <w:adjustRightInd/>
        <w:snapToGrid w:val="0"/>
        <w:spacing w:before="40" w:line="360" w:lineRule="auto"/>
        <w:ind w:left="0" w:right="3741"/>
        <w:jc w:val="both"/>
        <w:rPr>
          <w:rFonts w:ascii="宋体" w:hAnsi="宋体" w:eastAsia="宋体" w:cs="宋体"/>
          <w:sz w:val="24"/>
          <w:szCs w:val="24"/>
          <w:u w:val="single"/>
        </w:rPr>
      </w:pPr>
      <w:bookmarkStart w:id="177" w:name="_Toc513627819"/>
      <w:bookmarkStart w:id="178" w:name="_Toc26371000"/>
      <w:r>
        <w:rPr>
          <w:rFonts w:hint="eastAsia" w:ascii="宋体" w:hAnsi="宋体" w:eastAsia="宋体" w:cs="宋体"/>
          <w:sz w:val="24"/>
          <w:szCs w:val="24"/>
        </w:rPr>
        <w:t>甲方：</w:t>
      </w:r>
      <w:r>
        <w:rPr>
          <w:rFonts w:hint="eastAsia" w:ascii="宋体" w:hAnsi="宋体" w:eastAsia="宋体" w:cs="宋体"/>
          <w:sz w:val="24"/>
          <w:szCs w:val="24"/>
          <w:u w:val="single"/>
        </w:rPr>
        <w:t xml:space="preserve">四川省能投攀枝花水电开发有限公司 </w:t>
      </w:r>
    </w:p>
    <w:p>
      <w:pPr>
        <w:pStyle w:val="2"/>
        <w:tabs>
          <w:tab w:val="left" w:pos="0"/>
          <w:tab w:val="left" w:pos="4980"/>
        </w:tabs>
        <w:adjustRightInd/>
        <w:snapToGrid w:val="0"/>
        <w:spacing w:before="40" w:line="360" w:lineRule="auto"/>
        <w:ind w:left="0" w:right="3741"/>
        <w:jc w:val="both"/>
        <w:rPr>
          <w:rFonts w:ascii="宋体" w:hAnsi="宋体" w:eastAsia="宋体" w:cs="Times New Roman"/>
          <w:b/>
          <w:snapToGrid w:val="0"/>
          <w:sz w:val="32"/>
          <w:szCs w:val="32"/>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p>
    <w:p>
      <w:pPr>
        <w:spacing w:line="360" w:lineRule="auto"/>
        <w:ind w:firstLine="480" w:firstLineChars="200"/>
        <w:rPr>
          <w:rStyle w:val="105"/>
          <w:szCs w:val="24"/>
        </w:rPr>
      </w:pPr>
      <w:r>
        <w:rPr>
          <w:rStyle w:val="105"/>
          <w:rFonts w:hint="eastAsia"/>
          <w:szCs w:val="24"/>
        </w:rPr>
        <w:t>为贯彻落实《中华人民共和国安全生产法》等国家及地方有关安全生产法律法规，明确甲方和乙方双方安全生产管理职责，确保双方签订的本合同所规定的各项合同任务和目标顺利实现，甲方和乙方双方已就合同工作范围内的相关安全生产和职业健康、生态环境保护、能源节约、水土保持管理责任协商并达成一致，特签订本协议，供双方共同遵守：</w:t>
      </w:r>
    </w:p>
    <w:p>
      <w:pPr>
        <w:snapToGrid w:val="0"/>
        <w:spacing w:line="360" w:lineRule="auto"/>
        <w:ind w:firstLine="480" w:firstLineChars="200"/>
        <w:jc w:val="both"/>
        <w:rPr>
          <w:rStyle w:val="105"/>
          <w:szCs w:val="24"/>
        </w:rPr>
      </w:pPr>
      <w:r>
        <w:rPr>
          <w:rStyle w:val="105"/>
          <w:rFonts w:hint="eastAsia"/>
          <w:szCs w:val="24"/>
        </w:rPr>
        <w:t>1、甲方责任</w:t>
      </w:r>
    </w:p>
    <w:p>
      <w:pPr>
        <w:snapToGrid w:val="0"/>
        <w:spacing w:line="360" w:lineRule="auto"/>
        <w:ind w:firstLine="480" w:firstLineChars="200"/>
        <w:jc w:val="both"/>
        <w:rPr>
          <w:rStyle w:val="105"/>
          <w:szCs w:val="24"/>
        </w:rPr>
      </w:pPr>
      <w:r>
        <w:rPr>
          <w:rStyle w:val="105"/>
          <w:rFonts w:hint="eastAsia"/>
          <w:szCs w:val="24"/>
        </w:rPr>
        <w:t>（1）甲方应严格按照国家及地方有关安全生产法律法规对乙方施工作业现场安全生产工作进行统一协调管理、检查与督促，认真执行合同中的有关条款要求。</w:t>
      </w:r>
    </w:p>
    <w:p>
      <w:pPr>
        <w:snapToGrid w:val="0"/>
        <w:spacing w:line="360" w:lineRule="auto"/>
        <w:ind w:firstLine="480" w:firstLineChars="200"/>
        <w:jc w:val="both"/>
        <w:rPr>
          <w:rStyle w:val="105"/>
          <w:szCs w:val="24"/>
        </w:rPr>
      </w:pPr>
      <w:r>
        <w:rPr>
          <w:rStyle w:val="105"/>
          <w:rFonts w:hint="eastAsia"/>
          <w:szCs w:val="24"/>
        </w:rPr>
        <w:t xml:space="preserve">（2）甲方按照双方签订的合同已为乙方计入安全生产措施费等费用(或者单独计列，具体费用情况见合同文本约定)，为乙方提供了必需且足额的安全措施相关费用。   </w:t>
      </w:r>
    </w:p>
    <w:p>
      <w:pPr>
        <w:snapToGrid w:val="0"/>
        <w:spacing w:line="360" w:lineRule="auto"/>
        <w:ind w:firstLine="480" w:firstLineChars="200"/>
        <w:jc w:val="both"/>
        <w:rPr>
          <w:rStyle w:val="105"/>
          <w:szCs w:val="24"/>
        </w:rPr>
      </w:pPr>
      <w:r>
        <w:rPr>
          <w:rStyle w:val="105"/>
          <w:rFonts w:hint="eastAsia"/>
          <w:szCs w:val="24"/>
        </w:rPr>
        <w:t>（3）甲方督促乙方按照国家有关法律法规和当地政府主管部门规定办理与本合同履行有关的各类许可证件及其它相关手续。</w:t>
      </w:r>
    </w:p>
    <w:p>
      <w:pPr>
        <w:snapToGrid w:val="0"/>
        <w:spacing w:line="360" w:lineRule="auto"/>
        <w:ind w:firstLine="480" w:firstLineChars="200"/>
        <w:jc w:val="both"/>
        <w:rPr>
          <w:rStyle w:val="105"/>
          <w:szCs w:val="24"/>
        </w:rPr>
      </w:pPr>
      <w:r>
        <w:rPr>
          <w:rStyle w:val="105"/>
          <w:rFonts w:hint="eastAsia"/>
          <w:szCs w:val="24"/>
        </w:rPr>
        <w:t>（4）甲方有权对乙方进行包括安全生产、职业健康、生态环境保护、能源节约、水土保持、治安管理、应急救援预案、劳动防护用品、记录等的安全综合检查。</w:t>
      </w:r>
    </w:p>
    <w:p>
      <w:pPr>
        <w:snapToGrid w:val="0"/>
        <w:spacing w:line="360" w:lineRule="auto"/>
        <w:ind w:firstLine="480" w:firstLineChars="200"/>
        <w:jc w:val="both"/>
        <w:rPr>
          <w:rStyle w:val="105"/>
          <w:szCs w:val="24"/>
        </w:rPr>
      </w:pPr>
      <w:r>
        <w:rPr>
          <w:rStyle w:val="105"/>
          <w:rFonts w:hint="eastAsia"/>
          <w:szCs w:val="24"/>
        </w:rPr>
        <w:t>（5）甲方采取日常或专项方式进行安全检查，检查内容包括安全生产与治安管理制度、危险有害因素与环境因素识别及管理措施、应急管理、劳动防护用品配置、野外作业安全管理、作业人员安全教育和培训情况、车辆及驾驶员管理、行车安全管理、危险物品管理、特种作业人员持证上岗情况以及各种应形成的安全记录等。</w:t>
      </w:r>
    </w:p>
    <w:p>
      <w:pPr>
        <w:snapToGrid w:val="0"/>
        <w:spacing w:line="360" w:lineRule="auto"/>
        <w:ind w:firstLine="480" w:firstLineChars="200"/>
        <w:jc w:val="both"/>
        <w:rPr>
          <w:rStyle w:val="105"/>
          <w:szCs w:val="24"/>
        </w:rPr>
      </w:pPr>
      <w:r>
        <w:rPr>
          <w:rStyle w:val="105"/>
          <w:rFonts w:hint="eastAsia"/>
          <w:szCs w:val="24"/>
        </w:rPr>
        <w:t>（6）甲方在安全检查中若发现乙方作业过程中存在安全隐患时，可下发整改通知，及时要求乙方采取有效措施予以整改治理，若乙方故意延误或拒绝整改纠正时，甲方有权要求乙方停工整改，同时由乙方承担包括工期延误等的一切责任和后果。</w:t>
      </w:r>
    </w:p>
    <w:p>
      <w:pPr>
        <w:snapToGrid w:val="0"/>
        <w:spacing w:line="360" w:lineRule="auto"/>
        <w:ind w:firstLine="480" w:firstLineChars="200"/>
        <w:jc w:val="both"/>
        <w:rPr>
          <w:rStyle w:val="105"/>
          <w:szCs w:val="24"/>
        </w:rPr>
      </w:pPr>
      <w:r>
        <w:rPr>
          <w:rStyle w:val="105"/>
          <w:rFonts w:hint="eastAsia"/>
          <w:szCs w:val="24"/>
        </w:rPr>
        <w:t xml:space="preserve">（7）甲方的安全监督检查应符合国家有关的法律法规规定，甲方不得要求乙方违反《中华人民共和国安全生产法》等国家和地方安全生产法律法规及相关操作规程作业。 </w:t>
      </w:r>
    </w:p>
    <w:p>
      <w:pPr>
        <w:snapToGrid w:val="0"/>
        <w:spacing w:line="360" w:lineRule="auto"/>
        <w:ind w:firstLine="480" w:firstLineChars="200"/>
        <w:jc w:val="both"/>
        <w:rPr>
          <w:rStyle w:val="105"/>
          <w:szCs w:val="24"/>
        </w:rPr>
      </w:pPr>
      <w:r>
        <w:rPr>
          <w:rStyle w:val="105"/>
          <w:rFonts w:hint="eastAsia"/>
          <w:szCs w:val="24"/>
        </w:rPr>
        <w:t>（8）必要时，甲方可以配合乙方进行生产安全事故处理工作。</w:t>
      </w:r>
    </w:p>
    <w:p>
      <w:pPr>
        <w:snapToGrid w:val="0"/>
        <w:spacing w:line="360" w:lineRule="auto"/>
        <w:ind w:firstLine="480" w:firstLineChars="200"/>
        <w:jc w:val="both"/>
        <w:rPr>
          <w:rStyle w:val="105"/>
          <w:szCs w:val="24"/>
        </w:rPr>
      </w:pPr>
      <w:r>
        <w:rPr>
          <w:rStyle w:val="105"/>
          <w:rFonts w:hint="eastAsia"/>
          <w:szCs w:val="24"/>
        </w:rPr>
        <w:t>2、乙方责任</w:t>
      </w:r>
    </w:p>
    <w:p>
      <w:pPr>
        <w:snapToGrid w:val="0"/>
        <w:spacing w:line="360" w:lineRule="auto"/>
        <w:ind w:firstLine="480" w:firstLineChars="200"/>
        <w:jc w:val="both"/>
        <w:rPr>
          <w:rStyle w:val="105"/>
          <w:szCs w:val="24"/>
        </w:rPr>
      </w:pPr>
      <w:r>
        <w:rPr>
          <w:rStyle w:val="105"/>
          <w:rFonts w:hint="eastAsia"/>
          <w:szCs w:val="24"/>
        </w:rPr>
        <w:t>（1）严格遵守中华人民共和国《安全生产法》《职业病防治法》和《森林防火条例》《民用爆炸物品安全管理条例》等国家及地方有关法律法规。</w:t>
      </w:r>
    </w:p>
    <w:p>
      <w:pPr>
        <w:snapToGrid w:val="0"/>
        <w:spacing w:line="360" w:lineRule="auto"/>
        <w:ind w:firstLine="480" w:firstLineChars="200"/>
        <w:jc w:val="both"/>
        <w:rPr>
          <w:rStyle w:val="105"/>
          <w:szCs w:val="24"/>
        </w:rPr>
      </w:pPr>
      <w:r>
        <w:rPr>
          <w:rStyle w:val="105"/>
          <w:rFonts w:hint="eastAsia"/>
          <w:szCs w:val="24"/>
        </w:rPr>
        <w:t>（2）建立健全本项目的安全生产规章制度和操作规程等安全管理体系，设置安全管理机构或配备专兼职安全管理人员。</w:t>
      </w:r>
    </w:p>
    <w:p>
      <w:pPr>
        <w:snapToGrid w:val="0"/>
        <w:spacing w:line="360" w:lineRule="auto"/>
        <w:ind w:firstLine="480" w:firstLineChars="200"/>
        <w:jc w:val="both"/>
        <w:rPr>
          <w:rStyle w:val="105"/>
          <w:szCs w:val="24"/>
        </w:rPr>
      </w:pPr>
      <w:r>
        <w:rPr>
          <w:rStyle w:val="105"/>
          <w:rFonts w:hint="eastAsia"/>
          <w:szCs w:val="24"/>
        </w:rPr>
        <w:t>（3）贯彻落实安全生产责任体系、“一岗双责”、“一岗一清单”等，作业过程中应做到“四不伤害”。</w:t>
      </w:r>
    </w:p>
    <w:p>
      <w:pPr>
        <w:snapToGrid w:val="0"/>
        <w:spacing w:line="360" w:lineRule="auto"/>
        <w:ind w:firstLine="480" w:firstLineChars="200"/>
        <w:jc w:val="both"/>
        <w:rPr>
          <w:rStyle w:val="105"/>
          <w:szCs w:val="24"/>
        </w:rPr>
      </w:pPr>
      <w:r>
        <w:rPr>
          <w:rStyle w:val="105"/>
          <w:rFonts w:hint="eastAsia"/>
          <w:szCs w:val="24"/>
        </w:rPr>
        <w:t>（4）项目开工前应按有关法律法规和当地政府主管部门要求办理与作业有关的各类许可和相关手续。</w:t>
      </w:r>
    </w:p>
    <w:p>
      <w:pPr>
        <w:snapToGrid w:val="0"/>
        <w:spacing w:line="360" w:lineRule="auto"/>
        <w:ind w:firstLine="480" w:firstLineChars="200"/>
        <w:jc w:val="both"/>
        <w:rPr>
          <w:rStyle w:val="105"/>
          <w:szCs w:val="24"/>
        </w:rPr>
      </w:pPr>
      <w:r>
        <w:rPr>
          <w:rStyle w:val="105"/>
          <w:rFonts w:hint="eastAsia"/>
          <w:szCs w:val="24"/>
        </w:rPr>
        <w:t>（5）所有人员作业前必须接受安全教育、健康体检、安全技术交底等且符合要求后方可上岗，特种作业人员、安全管理人员等必须取得有关主管部门颁发的有效的上岗资格证书。</w:t>
      </w:r>
    </w:p>
    <w:p>
      <w:pPr>
        <w:snapToGrid w:val="0"/>
        <w:spacing w:line="360" w:lineRule="auto"/>
        <w:ind w:firstLine="480" w:firstLineChars="200"/>
        <w:jc w:val="both"/>
        <w:rPr>
          <w:rStyle w:val="105"/>
          <w:szCs w:val="24"/>
        </w:rPr>
      </w:pPr>
      <w:r>
        <w:rPr>
          <w:rStyle w:val="105"/>
          <w:rFonts w:hint="eastAsia"/>
          <w:szCs w:val="24"/>
        </w:rPr>
        <w:t>（6）正确辨识、评估和管控危险有害因素、防止发生生产安全事故，定期进行安全生产检查及事故隐患排查，及时消除事故隐患，确保生产安全。</w:t>
      </w:r>
    </w:p>
    <w:p>
      <w:pPr>
        <w:snapToGrid w:val="0"/>
        <w:spacing w:line="360" w:lineRule="auto"/>
        <w:ind w:firstLine="480" w:firstLineChars="200"/>
        <w:jc w:val="both"/>
        <w:rPr>
          <w:rStyle w:val="105"/>
          <w:szCs w:val="24"/>
        </w:rPr>
      </w:pPr>
      <w:r>
        <w:rPr>
          <w:rStyle w:val="105"/>
          <w:rFonts w:hint="eastAsia"/>
          <w:szCs w:val="24"/>
        </w:rPr>
        <w:t>（7）甲方计入的安全生产措施费用，乙方应保证足额投入且只能用于本合同内容和项目的安全防护设施及安全用品的采购和更新、安全施工措施的落实、应急管理以及人员的安全教育培训等，不应挪作它用。</w:t>
      </w:r>
    </w:p>
    <w:p>
      <w:pPr>
        <w:snapToGrid w:val="0"/>
        <w:spacing w:line="360" w:lineRule="auto"/>
        <w:ind w:firstLine="480" w:firstLineChars="200"/>
        <w:jc w:val="both"/>
        <w:rPr>
          <w:rStyle w:val="105"/>
          <w:szCs w:val="24"/>
        </w:rPr>
      </w:pPr>
      <w:r>
        <w:rPr>
          <w:rStyle w:val="105"/>
          <w:rFonts w:hint="eastAsia"/>
          <w:szCs w:val="24"/>
        </w:rPr>
        <w:t>（8）应为投入本作业项目的人员、设备等办理人身意外保险、医疗保险等，并承担相应责任。合同履约过程中乙方因工作或其他原因而感染新型冠状病毒肺炎等疾病，由乙方自行承担相应责任。</w:t>
      </w:r>
    </w:p>
    <w:p>
      <w:pPr>
        <w:snapToGrid w:val="0"/>
        <w:spacing w:line="360" w:lineRule="auto"/>
        <w:ind w:firstLine="480" w:firstLineChars="200"/>
        <w:jc w:val="both"/>
        <w:rPr>
          <w:rStyle w:val="105"/>
          <w:szCs w:val="24"/>
        </w:rPr>
      </w:pPr>
      <w:r>
        <w:rPr>
          <w:rStyle w:val="105"/>
          <w:rFonts w:hint="eastAsia"/>
          <w:szCs w:val="24"/>
        </w:rPr>
        <w:t>（9）积极配合甲方或当地政府依法依规实施的安全监督管理工作，不得拒绝和阻挠，发生安全生产事故应按国家有关规定立即如实上报甲方和有关部门，不得隐瞒不报、谎报或拖延不报。</w:t>
      </w:r>
    </w:p>
    <w:p>
      <w:pPr>
        <w:snapToGrid w:val="0"/>
        <w:spacing w:line="360" w:lineRule="auto"/>
        <w:ind w:firstLine="480" w:firstLineChars="200"/>
        <w:jc w:val="both"/>
        <w:rPr>
          <w:rStyle w:val="105"/>
          <w:szCs w:val="24"/>
        </w:rPr>
      </w:pPr>
      <w:r>
        <w:rPr>
          <w:rStyle w:val="105"/>
          <w:rFonts w:hint="eastAsia"/>
          <w:szCs w:val="24"/>
        </w:rPr>
        <w:t>（10）编制的施工组织设计（作业计划）等安全技术文件应当包括相应的职业健康安全和环保水保技术措施，对危险性较大的作业项目应编制专项安全作业方案及相应的应急预案，安全作业方案应经甲方审查，必要时应邀请相关专家进行评审；乙方应当在作业现场的危险部位，安排专职的安全警戒人员，设置明显规范的安全警示标志。</w:t>
      </w:r>
    </w:p>
    <w:p>
      <w:pPr>
        <w:snapToGrid w:val="0"/>
        <w:spacing w:line="360" w:lineRule="auto"/>
        <w:ind w:firstLine="480" w:firstLineChars="200"/>
        <w:jc w:val="both"/>
        <w:rPr>
          <w:rStyle w:val="105"/>
          <w:szCs w:val="24"/>
        </w:rPr>
      </w:pPr>
      <w:r>
        <w:rPr>
          <w:rStyle w:val="105"/>
          <w:rFonts w:hint="eastAsia"/>
          <w:szCs w:val="24"/>
        </w:rPr>
        <w:t>（11）加强森林草地防火管理，防止森林草地火灾等，如乙方造成的森林草地火灾，由乙方自行承担相应责任。</w:t>
      </w:r>
    </w:p>
    <w:p>
      <w:pPr>
        <w:snapToGrid w:val="0"/>
        <w:spacing w:line="360" w:lineRule="auto"/>
        <w:ind w:firstLine="480" w:firstLineChars="200"/>
        <w:jc w:val="both"/>
        <w:rPr>
          <w:rStyle w:val="105"/>
          <w:szCs w:val="24"/>
        </w:rPr>
      </w:pPr>
      <w:r>
        <w:rPr>
          <w:rStyle w:val="105"/>
          <w:rFonts w:hint="eastAsia"/>
          <w:szCs w:val="24"/>
        </w:rPr>
        <w:t>（12）乙方应与相邻施工作业单位签订安全管理协议，并做好交叉作业的沟通、协调工作，承担各自的安全生产责任。</w:t>
      </w:r>
    </w:p>
    <w:p>
      <w:pPr>
        <w:snapToGrid w:val="0"/>
        <w:spacing w:line="360" w:lineRule="auto"/>
        <w:ind w:firstLine="480" w:firstLineChars="200"/>
        <w:jc w:val="both"/>
        <w:rPr>
          <w:rStyle w:val="105"/>
          <w:szCs w:val="24"/>
        </w:rPr>
      </w:pPr>
      <w:r>
        <w:rPr>
          <w:rStyle w:val="105"/>
          <w:rFonts w:hint="eastAsia"/>
          <w:szCs w:val="24"/>
        </w:rPr>
        <w:t>（13）做好安全文明施工，注意环境卫生，作业场所应“工完、料尽、场地清”。</w:t>
      </w:r>
    </w:p>
    <w:p>
      <w:pPr>
        <w:snapToGrid w:val="0"/>
        <w:spacing w:line="360" w:lineRule="auto"/>
        <w:ind w:firstLine="480" w:firstLineChars="200"/>
        <w:jc w:val="both"/>
        <w:rPr>
          <w:rStyle w:val="105"/>
          <w:szCs w:val="24"/>
        </w:rPr>
      </w:pPr>
      <w:r>
        <w:rPr>
          <w:rStyle w:val="105"/>
          <w:rFonts w:hint="eastAsia"/>
          <w:szCs w:val="24"/>
        </w:rPr>
        <w:t>（14）如乙方在施工作业中发生严重违反国家法律法规的行为，甲方有权立即制止、书面警告、经济处罚、停工整顿以至解除合同、勒令退场等措施。</w:t>
      </w:r>
    </w:p>
    <w:p>
      <w:pPr>
        <w:snapToGrid w:val="0"/>
        <w:spacing w:line="360" w:lineRule="auto"/>
        <w:ind w:firstLine="480" w:firstLineChars="200"/>
        <w:jc w:val="both"/>
        <w:rPr>
          <w:rStyle w:val="105"/>
          <w:szCs w:val="24"/>
        </w:rPr>
      </w:pPr>
      <w:r>
        <w:rPr>
          <w:rStyle w:val="105"/>
          <w:rFonts w:hint="eastAsia"/>
          <w:szCs w:val="24"/>
        </w:rPr>
        <w:t>（15）乙方应按照要求办理其人员（包括雇佣的民工）的意外伤害险（办理该项保险的保险费包含在合同总价中）等相关保险，足额投入安全生产费用，配备专兼职安全管理人员，采取符合国家及行业要求的安全措施，确保人员和财产的安全，并采取有效措施防止工地附近建筑物和第三方的人员生命财产遭受损害。</w:t>
      </w:r>
    </w:p>
    <w:p>
      <w:pPr>
        <w:snapToGrid w:val="0"/>
        <w:spacing w:line="360" w:lineRule="auto"/>
        <w:ind w:firstLine="480" w:firstLineChars="200"/>
        <w:jc w:val="both"/>
        <w:rPr>
          <w:rStyle w:val="105"/>
          <w:szCs w:val="24"/>
        </w:rPr>
      </w:pPr>
      <w:r>
        <w:rPr>
          <w:rStyle w:val="105"/>
          <w:rFonts w:hint="eastAsia"/>
          <w:szCs w:val="24"/>
        </w:rPr>
        <w:t>（16）签订合同后，协议在履行期间，若发生任何人员伤亡、设备损失、森林草地火灾、交通事故等一切安全事故，由乙方自行处理并承担一切费用和责任，甲方不承担任何费用和责任。</w:t>
      </w:r>
    </w:p>
    <w:p>
      <w:pPr>
        <w:snapToGrid w:val="0"/>
        <w:spacing w:line="360" w:lineRule="auto"/>
        <w:ind w:firstLine="480" w:firstLineChars="200"/>
        <w:jc w:val="both"/>
        <w:rPr>
          <w:rStyle w:val="105"/>
          <w:szCs w:val="24"/>
        </w:rPr>
      </w:pPr>
      <w:r>
        <w:rPr>
          <w:rStyle w:val="105"/>
          <w:rFonts w:hint="eastAsia"/>
          <w:szCs w:val="24"/>
        </w:rPr>
        <w:t>3、附则</w:t>
      </w:r>
    </w:p>
    <w:p>
      <w:pPr>
        <w:snapToGrid w:val="0"/>
        <w:spacing w:line="360" w:lineRule="auto"/>
        <w:ind w:firstLine="480" w:firstLineChars="200"/>
        <w:jc w:val="both"/>
        <w:rPr>
          <w:rStyle w:val="105"/>
          <w:szCs w:val="24"/>
        </w:rPr>
      </w:pPr>
      <w:r>
        <w:rPr>
          <w:rStyle w:val="105"/>
          <w:rFonts w:hint="eastAsia"/>
          <w:szCs w:val="24"/>
        </w:rPr>
        <w:t>（1）本安全生产管理协议作为</w:t>
      </w:r>
      <w:r>
        <w:rPr>
          <w:rFonts w:hAnsi="宋体" w:eastAsia="宋体"/>
          <w:u w:val="single"/>
        </w:rPr>
        <w:t>金沙水电站竣工环境保护验收</w:t>
      </w:r>
      <w:r>
        <w:rPr>
          <w:rFonts w:hint="eastAsia" w:hAnsi="宋体" w:eastAsia="宋体"/>
          <w:u w:val="single"/>
        </w:rPr>
        <w:t>及陆生生态调查技术</w:t>
      </w:r>
      <w:r>
        <w:rPr>
          <w:rFonts w:hAnsi="宋体" w:eastAsia="宋体"/>
          <w:u w:val="single"/>
        </w:rPr>
        <w:t>服务</w:t>
      </w:r>
      <w:r>
        <w:rPr>
          <w:rFonts w:hint="eastAsia" w:hAnsi="宋体" w:eastAsia="宋体"/>
        </w:rPr>
        <w:t>（合同编号：PZH-JS-QT-247）</w:t>
      </w:r>
      <w:r>
        <w:rPr>
          <w:rStyle w:val="105"/>
          <w:rFonts w:hint="eastAsia"/>
          <w:szCs w:val="24"/>
        </w:rPr>
        <w:t>合同组成部分，与合同具有同等法律效力。</w:t>
      </w:r>
    </w:p>
    <w:p>
      <w:pPr>
        <w:snapToGrid w:val="0"/>
        <w:spacing w:line="360" w:lineRule="auto"/>
        <w:ind w:firstLine="480" w:firstLineChars="200"/>
        <w:jc w:val="both"/>
        <w:rPr>
          <w:rStyle w:val="105"/>
          <w:szCs w:val="24"/>
        </w:rPr>
      </w:pPr>
      <w:r>
        <w:rPr>
          <w:rStyle w:val="105"/>
          <w:rFonts w:hint="eastAsia"/>
          <w:szCs w:val="24"/>
        </w:rPr>
        <w:t>（2）本协议书经双方法定代表人（或委托代理人）签字并加盖单位印章后生效，本合同最终验收并款项支付完成后失效。</w:t>
      </w:r>
    </w:p>
    <w:p>
      <w:pPr>
        <w:snapToGrid w:val="0"/>
        <w:spacing w:line="360" w:lineRule="auto"/>
        <w:ind w:firstLine="480" w:firstLineChars="200"/>
        <w:jc w:val="both"/>
        <w:rPr>
          <w:rStyle w:val="105"/>
          <w:szCs w:val="24"/>
        </w:rPr>
      </w:pPr>
      <w:r>
        <w:rPr>
          <w:rStyle w:val="105"/>
          <w:rFonts w:hint="eastAsia"/>
          <w:szCs w:val="24"/>
        </w:rPr>
        <w:t>（3）在本协议履行期间，若甲乙双方对本协议发生争议，双方应友好协商，亦可提请第三方调解或提请仲裁。</w:t>
      </w:r>
    </w:p>
    <w:p>
      <w:pPr>
        <w:spacing w:line="360" w:lineRule="auto"/>
        <w:rPr>
          <w:rStyle w:val="105"/>
          <w:szCs w:val="24"/>
        </w:rPr>
      </w:pPr>
    </w:p>
    <w:p>
      <w:pPr>
        <w:spacing w:line="360" w:lineRule="auto"/>
        <w:rPr>
          <w:rStyle w:val="105"/>
          <w:szCs w:val="24"/>
        </w:rPr>
      </w:pPr>
      <w:r>
        <w:rPr>
          <w:rStyle w:val="105"/>
          <w:rFonts w:hint="eastAsia"/>
          <w:szCs w:val="24"/>
        </w:rPr>
        <w:t xml:space="preserve">   （签署栏）</w:t>
      </w:r>
    </w:p>
    <w:tbl>
      <w:tblPr>
        <w:tblStyle w:val="48"/>
        <w:tblW w:w="0" w:type="auto"/>
        <w:tblInd w:w="0" w:type="dxa"/>
        <w:tblLayout w:type="fixed"/>
        <w:tblCellMar>
          <w:top w:w="0" w:type="dxa"/>
          <w:left w:w="108" w:type="dxa"/>
          <w:bottom w:w="0" w:type="dxa"/>
          <w:right w:w="108" w:type="dxa"/>
        </w:tblCellMar>
      </w:tblPr>
      <w:tblGrid>
        <w:gridCol w:w="4530"/>
        <w:gridCol w:w="4655"/>
      </w:tblGrid>
      <w:tr>
        <w:tblPrEx>
          <w:tblCellMar>
            <w:top w:w="0" w:type="dxa"/>
            <w:left w:w="108" w:type="dxa"/>
            <w:bottom w:w="0" w:type="dxa"/>
            <w:right w:w="108" w:type="dxa"/>
          </w:tblCellMar>
        </w:tblPrEx>
        <w:trPr>
          <w:trHeight w:val="1081" w:hRule="atLeast"/>
        </w:trPr>
        <w:tc>
          <w:tcPr>
            <w:tcW w:w="4530" w:type="dxa"/>
          </w:tcPr>
          <w:p>
            <w:pPr>
              <w:tabs>
                <w:tab w:val="left" w:pos="4800"/>
              </w:tabs>
              <w:spacing w:line="360" w:lineRule="auto"/>
              <w:rPr>
                <w:rFonts w:eastAsia="宋体"/>
                <w:u w:val="single"/>
              </w:rPr>
            </w:pPr>
            <w:r>
              <w:rPr>
                <w:rFonts w:eastAsia="宋体"/>
              </w:rPr>
              <w:t>甲方：</w:t>
            </w:r>
          </w:p>
        </w:tc>
        <w:tc>
          <w:tcPr>
            <w:tcW w:w="4655" w:type="dxa"/>
          </w:tcPr>
          <w:p>
            <w:pPr>
              <w:tabs>
                <w:tab w:val="left" w:pos="4800"/>
              </w:tabs>
              <w:spacing w:line="360" w:lineRule="auto"/>
              <w:rPr>
                <w:rFonts w:eastAsia="宋体"/>
              </w:rPr>
            </w:pPr>
            <w:r>
              <w:rPr>
                <w:rFonts w:eastAsia="宋体"/>
              </w:rPr>
              <w:t>乙方：</w:t>
            </w:r>
          </w:p>
          <w:p>
            <w:pPr>
              <w:tabs>
                <w:tab w:val="left" w:pos="4800"/>
              </w:tabs>
              <w:spacing w:line="360" w:lineRule="auto"/>
              <w:rPr>
                <w:rFonts w:eastAsia="宋体"/>
                <w:u w:val="single"/>
              </w:rPr>
            </w:pPr>
            <w:r>
              <w:rPr>
                <w:rFonts w:eastAsia="宋体"/>
              </w:rPr>
              <w:t xml:space="preserve">                                                  </w:t>
            </w:r>
          </w:p>
        </w:tc>
      </w:tr>
      <w:tr>
        <w:tblPrEx>
          <w:tblCellMar>
            <w:top w:w="0" w:type="dxa"/>
            <w:left w:w="108" w:type="dxa"/>
            <w:bottom w:w="0" w:type="dxa"/>
            <w:right w:w="108" w:type="dxa"/>
          </w:tblCellMar>
        </w:tblPrEx>
        <w:trPr>
          <w:trHeight w:val="746" w:hRule="atLeast"/>
        </w:trPr>
        <w:tc>
          <w:tcPr>
            <w:tcW w:w="4530" w:type="dxa"/>
          </w:tcPr>
          <w:p>
            <w:pPr>
              <w:tabs>
                <w:tab w:val="left" w:pos="4800"/>
              </w:tabs>
              <w:spacing w:line="360" w:lineRule="auto"/>
              <w:rPr>
                <w:rFonts w:eastAsia="宋体"/>
              </w:rPr>
            </w:pPr>
            <w:r>
              <w:rPr>
                <w:rFonts w:eastAsia="宋体"/>
              </w:rPr>
              <w:t>法定代表人</w:t>
            </w:r>
            <w:r>
              <w:rPr>
                <w:rFonts w:eastAsia="宋体"/>
              </w:rPr>
              <w:tab/>
            </w:r>
            <w:r>
              <w:rPr>
                <w:rFonts w:eastAsia="宋体"/>
              </w:rPr>
              <w:tab/>
            </w:r>
            <w:r>
              <w:rPr>
                <w:rFonts w:eastAsia="宋体"/>
              </w:rPr>
              <w:tab/>
            </w:r>
          </w:p>
          <w:p>
            <w:pPr>
              <w:spacing w:line="360" w:lineRule="auto"/>
              <w:rPr>
                <w:rFonts w:eastAsia="宋体"/>
              </w:rPr>
            </w:pPr>
            <w:r>
              <w:rPr>
                <w:rFonts w:eastAsia="宋体"/>
              </w:rPr>
              <w:t>(或委托代理人)：</w:t>
            </w:r>
          </w:p>
        </w:tc>
        <w:tc>
          <w:tcPr>
            <w:tcW w:w="4655" w:type="dxa"/>
          </w:tcPr>
          <w:p>
            <w:pPr>
              <w:tabs>
                <w:tab w:val="left" w:pos="4800"/>
              </w:tabs>
              <w:spacing w:line="360" w:lineRule="auto"/>
              <w:rPr>
                <w:rFonts w:eastAsia="宋体"/>
              </w:rPr>
            </w:pPr>
            <w:r>
              <w:rPr>
                <w:rFonts w:eastAsia="宋体"/>
              </w:rPr>
              <w:t>法定代表人</w:t>
            </w:r>
            <w:r>
              <w:rPr>
                <w:rFonts w:eastAsia="宋体"/>
              </w:rPr>
              <w:tab/>
            </w:r>
            <w:r>
              <w:rPr>
                <w:rFonts w:eastAsia="宋体"/>
              </w:rPr>
              <w:tab/>
            </w:r>
            <w:r>
              <w:rPr>
                <w:rFonts w:eastAsia="宋体"/>
              </w:rPr>
              <w:tab/>
            </w:r>
          </w:p>
          <w:p>
            <w:pPr>
              <w:spacing w:line="360" w:lineRule="auto"/>
              <w:rPr>
                <w:rFonts w:eastAsia="宋体"/>
              </w:rPr>
            </w:pPr>
            <w:r>
              <w:rPr>
                <w:rFonts w:eastAsia="宋体"/>
              </w:rPr>
              <w:t>(或委托代理人)：</w:t>
            </w:r>
          </w:p>
        </w:tc>
      </w:tr>
      <w:tr>
        <w:tblPrEx>
          <w:tblCellMar>
            <w:top w:w="0" w:type="dxa"/>
            <w:left w:w="108" w:type="dxa"/>
            <w:bottom w:w="0" w:type="dxa"/>
            <w:right w:w="108" w:type="dxa"/>
          </w:tblCellMar>
        </w:tblPrEx>
        <w:tc>
          <w:tcPr>
            <w:tcW w:w="9185" w:type="dxa"/>
            <w:gridSpan w:val="2"/>
          </w:tcPr>
          <w:p>
            <w:pPr>
              <w:spacing w:line="360" w:lineRule="auto"/>
              <w:jc w:val="center"/>
              <w:rPr>
                <w:rFonts w:eastAsia="宋体"/>
              </w:rPr>
            </w:pPr>
            <w:r>
              <w:rPr>
                <w:rFonts w:hint="eastAsia" w:eastAsia="宋体"/>
              </w:rPr>
              <w:t>日 期：       年       月       日</w:t>
            </w:r>
          </w:p>
        </w:tc>
      </w:tr>
    </w:tbl>
    <w:p>
      <w:pPr>
        <w:spacing w:line="360" w:lineRule="auto"/>
        <w:rPr>
          <w:rStyle w:val="105"/>
          <w:szCs w:val="24"/>
        </w:rPr>
      </w:pPr>
    </w:p>
    <w:p>
      <w:pPr>
        <w:pStyle w:val="9"/>
        <w:tabs>
          <w:tab w:val="left" w:pos="1119"/>
        </w:tabs>
        <w:spacing w:before="312"/>
        <w:ind w:right="12"/>
        <w:rPr>
          <w:rFonts w:ascii="宋体" w:hAnsi="宋体"/>
          <w:snapToGrid w:val="0"/>
          <w:kern w:val="0"/>
          <w:sz w:val="28"/>
          <w:szCs w:val="28"/>
        </w:rPr>
      </w:pPr>
      <w:r>
        <w:rPr>
          <w:rStyle w:val="105"/>
          <w:szCs w:val="24"/>
        </w:rPr>
        <w:br w:type="page"/>
      </w:r>
      <w:bookmarkEnd w:id="177"/>
      <w:bookmarkEnd w:id="178"/>
      <w:r>
        <w:rPr>
          <w:rFonts w:hint="eastAsia" w:ascii="time" w:hAnsi="time"/>
        </w:rPr>
        <w:t>附件三</w:t>
      </w:r>
      <w:r>
        <w:rPr>
          <w:rFonts w:hint="eastAsia" w:ascii="time" w:hAnsi="time"/>
        </w:rPr>
        <w:tab/>
      </w:r>
      <w:r>
        <w:rPr>
          <w:rFonts w:hint="eastAsia" w:ascii="time" w:hAnsi="time"/>
        </w:rPr>
        <w:t>保密</w:t>
      </w:r>
      <w:r>
        <w:rPr>
          <w:rFonts w:ascii="time" w:hAnsi="time"/>
        </w:rPr>
        <w:t>协议书</w:t>
      </w:r>
    </w:p>
    <w:p>
      <w:pPr>
        <w:spacing w:line="360" w:lineRule="auto"/>
        <w:outlineLvl w:val="1"/>
        <w:rPr>
          <w:rStyle w:val="105"/>
          <w:szCs w:val="24"/>
        </w:rPr>
      </w:pPr>
    </w:p>
    <w:p>
      <w:pPr>
        <w:keepNext/>
        <w:snapToGrid w:val="0"/>
        <w:spacing w:beforeLines="20" w:line="360" w:lineRule="auto"/>
        <w:jc w:val="center"/>
        <w:rPr>
          <w:rStyle w:val="105"/>
          <w:b/>
          <w:szCs w:val="24"/>
        </w:rPr>
      </w:pPr>
      <w:r>
        <w:rPr>
          <w:rStyle w:val="105"/>
          <w:b/>
          <w:sz w:val="32"/>
          <w:szCs w:val="24"/>
        </w:rPr>
        <w:t>保密协议</w:t>
      </w:r>
      <w:r>
        <w:rPr>
          <w:rStyle w:val="105"/>
          <w:rFonts w:hint="eastAsia"/>
          <w:b/>
          <w:sz w:val="32"/>
          <w:szCs w:val="24"/>
        </w:rPr>
        <w:t>书</w:t>
      </w:r>
    </w:p>
    <w:p>
      <w:pPr>
        <w:pStyle w:val="2"/>
        <w:tabs>
          <w:tab w:val="left" w:pos="0"/>
          <w:tab w:val="left" w:pos="3544"/>
          <w:tab w:val="left" w:pos="3686"/>
        </w:tabs>
        <w:adjustRightInd/>
        <w:snapToGrid w:val="0"/>
        <w:spacing w:before="40" w:line="360" w:lineRule="auto"/>
        <w:ind w:left="0" w:right="3741"/>
        <w:jc w:val="both"/>
        <w:rPr>
          <w:rFonts w:ascii="宋体" w:hAnsi="宋体" w:eastAsia="宋体" w:cs="宋体"/>
          <w:sz w:val="24"/>
          <w:szCs w:val="24"/>
          <w:u w:val="single"/>
        </w:rPr>
      </w:pPr>
      <w:r>
        <w:rPr>
          <w:rFonts w:hint="eastAsia" w:ascii="宋体" w:hAnsi="宋体" w:eastAsia="宋体" w:cs="宋体"/>
          <w:sz w:val="24"/>
          <w:szCs w:val="24"/>
        </w:rPr>
        <w:t>甲方：</w:t>
      </w:r>
      <w:r>
        <w:rPr>
          <w:rFonts w:hint="eastAsia" w:ascii="宋体" w:hAnsi="宋体" w:eastAsia="宋体" w:cs="宋体"/>
          <w:sz w:val="24"/>
          <w:szCs w:val="24"/>
          <w:u w:val="single"/>
        </w:rPr>
        <w:t xml:space="preserve">四川省能投攀枝花水电开发有限公司 </w:t>
      </w:r>
    </w:p>
    <w:p>
      <w:pPr>
        <w:pStyle w:val="2"/>
        <w:tabs>
          <w:tab w:val="left" w:pos="0"/>
          <w:tab w:val="left" w:pos="4980"/>
        </w:tabs>
        <w:adjustRightInd/>
        <w:snapToGrid w:val="0"/>
        <w:spacing w:before="40" w:line="360" w:lineRule="auto"/>
        <w:ind w:left="0" w:right="3741"/>
        <w:jc w:val="both"/>
        <w:rPr>
          <w:rFonts w:ascii="宋体" w:hAnsi="宋体" w:eastAsia="宋体" w:cs="Times New Roman"/>
          <w:b/>
          <w:snapToGrid w:val="0"/>
          <w:sz w:val="32"/>
          <w:szCs w:val="32"/>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p>
    <w:p>
      <w:pPr>
        <w:snapToGrid w:val="0"/>
        <w:spacing w:line="360" w:lineRule="auto"/>
        <w:ind w:firstLine="480" w:firstLineChars="200"/>
        <w:jc w:val="both"/>
        <w:rPr>
          <w:rStyle w:val="105"/>
          <w:szCs w:val="24"/>
        </w:rPr>
      </w:pPr>
      <w:r>
        <w:rPr>
          <w:rStyle w:val="105"/>
          <w:szCs w:val="24"/>
        </w:rPr>
        <w:t>鉴于</w:t>
      </w:r>
      <w:r>
        <w:rPr>
          <w:rStyle w:val="105"/>
          <w:rFonts w:hint="eastAsia"/>
          <w:szCs w:val="24"/>
        </w:rPr>
        <w:t>甲</w:t>
      </w:r>
      <w:r>
        <w:rPr>
          <w:rStyle w:val="105"/>
          <w:szCs w:val="24"/>
        </w:rPr>
        <w:t>、</w:t>
      </w:r>
      <w:r>
        <w:rPr>
          <w:rStyle w:val="105"/>
          <w:rFonts w:hint="eastAsia"/>
          <w:szCs w:val="24"/>
        </w:rPr>
        <w:t>乙</w:t>
      </w:r>
      <w:r>
        <w:rPr>
          <w:rStyle w:val="105"/>
          <w:szCs w:val="24"/>
        </w:rPr>
        <w:t>双方进行</w:t>
      </w:r>
      <w:r>
        <w:rPr>
          <w:rStyle w:val="105"/>
          <w:rFonts w:hint="eastAsia"/>
          <w:szCs w:val="24"/>
        </w:rPr>
        <w:t>本合同</w:t>
      </w:r>
      <w:r>
        <w:rPr>
          <w:rStyle w:val="105"/>
          <w:szCs w:val="24"/>
        </w:rPr>
        <w:t>合作事宜，双方将以书面或口头形式要求对方提供并将拥有或已经拥有对方某些非公开的、保密的、专业的信息和数据，双方愿以本协议规定对本协议项下的保密信息承担保密义务，为此双方达成协议如下：</w:t>
      </w:r>
    </w:p>
    <w:p>
      <w:pPr>
        <w:snapToGrid w:val="0"/>
        <w:spacing w:line="360" w:lineRule="auto"/>
        <w:ind w:firstLine="480" w:firstLineChars="200"/>
        <w:jc w:val="both"/>
        <w:rPr>
          <w:rStyle w:val="105"/>
          <w:szCs w:val="24"/>
        </w:rPr>
      </w:pPr>
      <w:r>
        <w:rPr>
          <w:rStyle w:val="105"/>
          <w:szCs w:val="24"/>
        </w:rPr>
        <w:t>一、适用范围</w:t>
      </w:r>
    </w:p>
    <w:p>
      <w:pPr>
        <w:snapToGrid w:val="0"/>
        <w:spacing w:line="360" w:lineRule="auto"/>
        <w:ind w:firstLine="480" w:firstLineChars="200"/>
        <w:jc w:val="both"/>
        <w:rPr>
          <w:rStyle w:val="105"/>
          <w:szCs w:val="24"/>
        </w:rPr>
      </w:pPr>
      <w:r>
        <w:rPr>
          <w:rStyle w:val="105"/>
          <w:szCs w:val="24"/>
        </w:rPr>
        <w:t>本协议适用于</w:t>
      </w:r>
      <w:r>
        <w:rPr>
          <w:rFonts w:hAnsi="宋体" w:eastAsia="宋体"/>
          <w:u w:val="single"/>
        </w:rPr>
        <w:t>金沙水电站竣工环境保护验收</w:t>
      </w:r>
      <w:r>
        <w:rPr>
          <w:rFonts w:hint="eastAsia" w:hAnsi="宋体" w:eastAsia="宋体"/>
          <w:u w:val="single"/>
        </w:rPr>
        <w:t>及陆生生态调查技术</w:t>
      </w:r>
      <w:r>
        <w:rPr>
          <w:rFonts w:hAnsi="宋体" w:eastAsia="宋体"/>
          <w:u w:val="single"/>
        </w:rPr>
        <w:t>服务</w:t>
      </w:r>
      <w:r>
        <w:rPr>
          <w:rFonts w:hint="eastAsia" w:hAnsi="宋体" w:eastAsia="宋体"/>
        </w:rPr>
        <w:t>（合同编号：PZH-JS-QT-247）</w:t>
      </w:r>
      <w:r>
        <w:rPr>
          <w:rStyle w:val="105"/>
          <w:szCs w:val="24"/>
        </w:rPr>
        <w:t>范围内的各项工作，包含任何格式的勘探及试验原始记录、试验报告、数字产品、计算资料、成果资料、影像资料、图纸、数据盘等。</w:t>
      </w:r>
    </w:p>
    <w:p>
      <w:pPr>
        <w:snapToGrid w:val="0"/>
        <w:spacing w:line="360" w:lineRule="auto"/>
        <w:ind w:firstLine="480" w:firstLineChars="200"/>
        <w:jc w:val="both"/>
        <w:rPr>
          <w:rStyle w:val="105"/>
          <w:szCs w:val="24"/>
        </w:rPr>
      </w:pPr>
      <w:r>
        <w:rPr>
          <w:rStyle w:val="105"/>
          <w:szCs w:val="24"/>
        </w:rPr>
        <w:t>二、双方的责任和义务</w:t>
      </w:r>
    </w:p>
    <w:p>
      <w:pPr>
        <w:snapToGrid w:val="0"/>
        <w:spacing w:line="360" w:lineRule="auto"/>
        <w:ind w:firstLine="480" w:firstLineChars="200"/>
        <w:jc w:val="both"/>
        <w:rPr>
          <w:rStyle w:val="105"/>
          <w:szCs w:val="24"/>
        </w:rPr>
      </w:pPr>
      <w:r>
        <w:rPr>
          <w:rStyle w:val="105"/>
          <w:szCs w:val="24"/>
        </w:rPr>
        <w:t>1</w:t>
      </w:r>
      <w:r>
        <w:rPr>
          <w:rStyle w:val="105"/>
          <w:rFonts w:hint="eastAsia"/>
          <w:szCs w:val="24"/>
        </w:rPr>
        <w:t>. 甲</w:t>
      </w:r>
      <w:r>
        <w:rPr>
          <w:rStyle w:val="105"/>
          <w:szCs w:val="24"/>
        </w:rPr>
        <w:t>、</w:t>
      </w:r>
      <w:r>
        <w:rPr>
          <w:rStyle w:val="105"/>
          <w:rFonts w:hint="eastAsia"/>
          <w:szCs w:val="24"/>
        </w:rPr>
        <w:t>乙</w:t>
      </w:r>
      <w:r>
        <w:rPr>
          <w:rStyle w:val="105"/>
          <w:szCs w:val="24"/>
        </w:rPr>
        <w:t>双方必须遵守国家</w:t>
      </w:r>
      <w:r>
        <w:rPr>
          <w:rStyle w:val="105"/>
          <w:rFonts w:hint="eastAsia"/>
          <w:szCs w:val="24"/>
        </w:rPr>
        <w:t>所有</w:t>
      </w:r>
      <w:r>
        <w:rPr>
          <w:rStyle w:val="105"/>
          <w:szCs w:val="24"/>
        </w:rPr>
        <w:t>相关保密法律法规的要求</w:t>
      </w:r>
      <w:r>
        <w:rPr>
          <w:rStyle w:val="105"/>
          <w:rFonts w:hint="eastAsia"/>
          <w:szCs w:val="24"/>
        </w:rPr>
        <w:t>，</w:t>
      </w:r>
      <w:r>
        <w:rPr>
          <w:rStyle w:val="105"/>
          <w:szCs w:val="24"/>
        </w:rPr>
        <w:t>采取有效措施</w:t>
      </w:r>
      <w:r>
        <w:rPr>
          <w:rStyle w:val="105"/>
          <w:rFonts w:hint="eastAsia"/>
          <w:szCs w:val="24"/>
        </w:rPr>
        <w:t>，</w:t>
      </w:r>
      <w:r>
        <w:rPr>
          <w:rStyle w:val="105"/>
          <w:szCs w:val="24"/>
        </w:rPr>
        <w:t>严防泄密。</w:t>
      </w:r>
    </w:p>
    <w:p>
      <w:pPr>
        <w:snapToGrid w:val="0"/>
        <w:spacing w:line="360" w:lineRule="auto"/>
        <w:ind w:firstLine="480" w:firstLineChars="200"/>
        <w:jc w:val="both"/>
        <w:rPr>
          <w:rStyle w:val="105"/>
          <w:szCs w:val="24"/>
        </w:rPr>
      </w:pPr>
      <w:r>
        <w:rPr>
          <w:rStyle w:val="105"/>
          <w:szCs w:val="24"/>
        </w:rPr>
        <w:t>2</w:t>
      </w:r>
      <w:r>
        <w:rPr>
          <w:rStyle w:val="105"/>
          <w:rFonts w:hint="eastAsia"/>
          <w:szCs w:val="24"/>
        </w:rPr>
        <w:t>. 乙方</w:t>
      </w:r>
      <w:r>
        <w:rPr>
          <w:rStyle w:val="105"/>
          <w:szCs w:val="24"/>
        </w:rPr>
        <w:t>对保密信息谨慎、妥善持有、并严格保密，没有</w:t>
      </w:r>
      <w:r>
        <w:rPr>
          <w:rStyle w:val="105"/>
          <w:rFonts w:hint="eastAsia"/>
          <w:szCs w:val="24"/>
        </w:rPr>
        <w:t>甲方</w:t>
      </w:r>
      <w:r>
        <w:rPr>
          <w:rStyle w:val="105"/>
          <w:szCs w:val="24"/>
        </w:rPr>
        <w:t>事先书面同意，不得向其它任何单位或个人披露；</w:t>
      </w:r>
      <w:r>
        <w:rPr>
          <w:rStyle w:val="105"/>
          <w:rFonts w:hint="eastAsia"/>
          <w:szCs w:val="24"/>
        </w:rPr>
        <w:t>乙方</w:t>
      </w:r>
      <w:r>
        <w:rPr>
          <w:rStyle w:val="105"/>
          <w:szCs w:val="24"/>
        </w:rPr>
        <w:t>只有得到</w:t>
      </w:r>
      <w:r>
        <w:rPr>
          <w:rStyle w:val="105"/>
          <w:rFonts w:hint="eastAsia"/>
          <w:szCs w:val="24"/>
        </w:rPr>
        <w:t>甲方</w:t>
      </w:r>
      <w:r>
        <w:rPr>
          <w:rStyle w:val="105"/>
          <w:szCs w:val="24"/>
        </w:rPr>
        <w:t>书面同意后，可将保密信息披露给其指定的其它单位，并且该单位应首先以书面形式承诺保守该保密信息。</w:t>
      </w:r>
    </w:p>
    <w:p>
      <w:pPr>
        <w:snapToGrid w:val="0"/>
        <w:spacing w:line="360" w:lineRule="auto"/>
        <w:ind w:firstLine="480" w:firstLineChars="200"/>
        <w:jc w:val="both"/>
        <w:rPr>
          <w:rStyle w:val="105"/>
          <w:szCs w:val="24"/>
        </w:rPr>
      </w:pPr>
      <w:r>
        <w:rPr>
          <w:rStyle w:val="105"/>
          <w:szCs w:val="24"/>
        </w:rPr>
        <w:t>3</w:t>
      </w:r>
      <w:r>
        <w:rPr>
          <w:rStyle w:val="105"/>
          <w:rFonts w:hint="eastAsia"/>
          <w:szCs w:val="24"/>
        </w:rPr>
        <w:t>. 乙方</w:t>
      </w:r>
      <w:r>
        <w:rPr>
          <w:rStyle w:val="105"/>
          <w:szCs w:val="24"/>
        </w:rPr>
        <w:t>将保密信息披露给其直接或间接参与合作事项的管理人员、职员、顾问和其它雇员（统称“有关人员”）但应保证该类有关人员对保密信息严格保密，并与其签订保密承诺书备案。</w:t>
      </w:r>
    </w:p>
    <w:p>
      <w:pPr>
        <w:snapToGrid w:val="0"/>
        <w:spacing w:line="360" w:lineRule="auto"/>
        <w:ind w:firstLine="480" w:firstLineChars="200"/>
        <w:jc w:val="both"/>
        <w:rPr>
          <w:rStyle w:val="105"/>
          <w:szCs w:val="24"/>
        </w:rPr>
      </w:pPr>
      <w:r>
        <w:rPr>
          <w:rStyle w:val="105"/>
          <w:szCs w:val="24"/>
        </w:rPr>
        <w:t>4</w:t>
      </w:r>
      <w:r>
        <w:rPr>
          <w:rStyle w:val="105"/>
          <w:rFonts w:hint="eastAsia"/>
          <w:szCs w:val="24"/>
        </w:rPr>
        <w:t>. 乙方</w:t>
      </w:r>
      <w:r>
        <w:rPr>
          <w:rStyle w:val="105"/>
          <w:szCs w:val="24"/>
        </w:rPr>
        <w:t>有关人员毕业、离职、调动等人事变动不影响《保密协议》和《保密承诺书》的效力，仍应严格遵守保密协议和保密承诺书的规定。</w:t>
      </w:r>
    </w:p>
    <w:p>
      <w:pPr>
        <w:snapToGrid w:val="0"/>
        <w:spacing w:line="360" w:lineRule="auto"/>
        <w:ind w:firstLine="480" w:firstLineChars="200"/>
        <w:jc w:val="both"/>
        <w:rPr>
          <w:rStyle w:val="105"/>
          <w:szCs w:val="24"/>
        </w:rPr>
      </w:pPr>
      <w:r>
        <w:rPr>
          <w:rStyle w:val="105"/>
          <w:szCs w:val="24"/>
        </w:rPr>
        <w:t>5</w:t>
      </w:r>
      <w:r>
        <w:rPr>
          <w:rStyle w:val="105"/>
          <w:rFonts w:hint="eastAsia"/>
          <w:szCs w:val="24"/>
        </w:rPr>
        <w:t xml:space="preserve">. </w:t>
      </w:r>
      <w:r>
        <w:rPr>
          <w:rStyle w:val="105"/>
          <w:szCs w:val="24"/>
        </w:rPr>
        <w:t>若具有权力的法庭或其它司法、行政、立法机构要求</w:t>
      </w:r>
      <w:r>
        <w:rPr>
          <w:rStyle w:val="105"/>
          <w:rFonts w:hint="eastAsia"/>
          <w:szCs w:val="24"/>
        </w:rPr>
        <w:t>乙方</w:t>
      </w:r>
      <w:r>
        <w:rPr>
          <w:rStyle w:val="105"/>
          <w:szCs w:val="24"/>
        </w:rPr>
        <w:t>披露保密信息，</w:t>
      </w:r>
      <w:r>
        <w:rPr>
          <w:rStyle w:val="105"/>
          <w:rFonts w:hint="eastAsia"/>
          <w:szCs w:val="24"/>
        </w:rPr>
        <w:t>乙方</w:t>
      </w:r>
      <w:r>
        <w:rPr>
          <w:rStyle w:val="105"/>
          <w:szCs w:val="24"/>
        </w:rPr>
        <w:t>应：</w:t>
      </w:r>
    </w:p>
    <w:p>
      <w:pPr>
        <w:snapToGrid w:val="0"/>
        <w:spacing w:line="360" w:lineRule="auto"/>
        <w:ind w:firstLine="480" w:firstLineChars="200"/>
        <w:jc w:val="both"/>
        <w:rPr>
          <w:rStyle w:val="105"/>
          <w:szCs w:val="24"/>
        </w:rPr>
      </w:pPr>
      <w:r>
        <w:rPr>
          <w:rStyle w:val="105"/>
          <w:rFonts w:hint="eastAsia"/>
          <w:szCs w:val="24"/>
        </w:rPr>
        <w:t>（1）</w:t>
      </w:r>
      <w:r>
        <w:rPr>
          <w:rStyle w:val="105"/>
          <w:szCs w:val="24"/>
        </w:rPr>
        <w:t>立即通知</w:t>
      </w:r>
      <w:r>
        <w:rPr>
          <w:rStyle w:val="105"/>
          <w:rFonts w:hint="eastAsia"/>
          <w:szCs w:val="24"/>
        </w:rPr>
        <w:t>甲方</w:t>
      </w:r>
      <w:r>
        <w:rPr>
          <w:rStyle w:val="105"/>
          <w:szCs w:val="24"/>
        </w:rPr>
        <w:t>；</w:t>
      </w:r>
    </w:p>
    <w:p>
      <w:pPr>
        <w:snapToGrid w:val="0"/>
        <w:spacing w:line="360" w:lineRule="auto"/>
        <w:ind w:firstLine="480" w:firstLineChars="200"/>
        <w:jc w:val="both"/>
        <w:rPr>
          <w:rStyle w:val="105"/>
          <w:szCs w:val="24"/>
        </w:rPr>
      </w:pPr>
      <w:r>
        <w:rPr>
          <w:rStyle w:val="105"/>
          <w:rFonts w:hint="eastAsia"/>
          <w:szCs w:val="24"/>
        </w:rPr>
        <w:t>（2）</w:t>
      </w:r>
      <w:r>
        <w:rPr>
          <w:rStyle w:val="105"/>
          <w:szCs w:val="24"/>
        </w:rPr>
        <w:t>经</w:t>
      </w:r>
      <w:r>
        <w:rPr>
          <w:rStyle w:val="105"/>
          <w:rFonts w:hint="eastAsia"/>
          <w:szCs w:val="24"/>
        </w:rPr>
        <w:t>甲方</w:t>
      </w:r>
      <w:r>
        <w:rPr>
          <w:rStyle w:val="105"/>
          <w:szCs w:val="24"/>
        </w:rPr>
        <w:t>同意后，</w:t>
      </w:r>
      <w:r>
        <w:rPr>
          <w:rStyle w:val="105"/>
          <w:rFonts w:hint="eastAsia"/>
          <w:szCs w:val="24"/>
        </w:rPr>
        <w:t>乙方</w:t>
      </w:r>
      <w:r>
        <w:rPr>
          <w:rStyle w:val="105"/>
          <w:szCs w:val="24"/>
        </w:rPr>
        <w:t>采取合法及合理的保密措施，要求所提供的保密信息能按照国家有关规定进行保密。</w:t>
      </w:r>
    </w:p>
    <w:p>
      <w:pPr>
        <w:snapToGrid w:val="0"/>
        <w:spacing w:line="360" w:lineRule="auto"/>
        <w:ind w:firstLine="480" w:firstLineChars="200"/>
        <w:jc w:val="both"/>
        <w:rPr>
          <w:rStyle w:val="105"/>
          <w:szCs w:val="24"/>
        </w:rPr>
      </w:pPr>
      <w:r>
        <w:rPr>
          <w:rStyle w:val="105"/>
          <w:szCs w:val="24"/>
        </w:rPr>
        <w:t>6</w:t>
      </w:r>
      <w:r>
        <w:rPr>
          <w:rStyle w:val="105"/>
          <w:rFonts w:hint="eastAsia"/>
          <w:szCs w:val="24"/>
        </w:rPr>
        <w:t xml:space="preserve">. </w:t>
      </w:r>
      <w:r>
        <w:rPr>
          <w:rStyle w:val="105"/>
          <w:szCs w:val="24"/>
        </w:rPr>
        <w:t>双方在资料传送过程中，必须遵守如下规定：</w:t>
      </w:r>
    </w:p>
    <w:p>
      <w:pPr>
        <w:snapToGrid w:val="0"/>
        <w:spacing w:line="360" w:lineRule="auto"/>
        <w:ind w:firstLine="480" w:firstLineChars="200"/>
        <w:jc w:val="both"/>
        <w:rPr>
          <w:rStyle w:val="105"/>
          <w:szCs w:val="24"/>
        </w:rPr>
      </w:pPr>
      <w:r>
        <w:rPr>
          <w:rStyle w:val="105"/>
          <w:rFonts w:hint="eastAsia"/>
          <w:szCs w:val="24"/>
        </w:rPr>
        <w:t>（1）</w:t>
      </w:r>
      <w:r>
        <w:rPr>
          <w:rStyle w:val="105"/>
          <w:szCs w:val="24"/>
        </w:rPr>
        <w:t xml:space="preserve"> 凡涉及国家及秘密或企业商业秘密的信息，不得通过互联网传递；</w:t>
      </w:r>
    </w:p>
    <w:p>
      <w:pPr>
        <w:snapToGrid w:val="0"/>
        <w:spacing w:line="360" w:lineRule="auto"/>
        <w:ind w:firstLine="480" w:firstLineChars="200"/>
        <w:jc w:val="both"/>
        <w:rPr>
          <w:rStyle w:val="105"/>
          <w:szCs w:val="24"/>
        </w:rPr>
      </w:pPr>
      <w:r>
        <w:rPr>
          <w:rStyle w:val="105"/>
          <w:rFonts w:hint="eastAsia"/>
          <w:szCs w:val="24"/>
        </w:rPr>
        <w:t>（2）</w:t>
      </w:r>
      <w:r>
        <w:rPr>
          <w:rStyle w:val="105"/>
          <w:szCs w:val="24"/>
        </w:rPr>
        <w:t xml:space="preserve"> 凡涉及国家秘密或企业的信息，在出版、印制过程中，必须按照国家有关部门的规定，在具有国家保密局颁发的保密资料准印资质或其它的有效证明材料的印制单位进行印制出版；</w:t>
      </w:r>
    </w:p>
    <w:p>
      <w:pPr>
        <w:snapToGrid w:val="0"/>
        <w:spacing w:line="360" w:lineRule="auto"/>
        <w:ind w:firstLine="480" w:firstLineChars="200"/>
        <w:jc w:val="both"/>
        <w:rPr>
          <w:rStyle w:val="105"/>
          <w:szCs w:val="24"/>
        </w:rPr>
      </w:pPr>
      <w:r>
        <w:rPr>
          <w:rStyle w:val="105"/>
          <w:rFonts w:hint="eastAsia"/>
          <w:szCs w:val="24"/>
        </w:rPr>
        <w:t>（3）</w:t>
      </w:r>
      <w:r>
        <w:rPr>
          <w:rStyle w:val="105"/>
          <w:szCs w:val="24"/>
        </w:rPr>
        <w:t>凡涉及国家秘密、企业商业秘密的信息不得通过互联网传送，一般资料也应在确保相应敏感信息脱密处理后进行传送。</w:t>
      </w:r>
    </w:p>
    <w:p>
      <w:pPr>
        <w:snapToGrid w:val="0"/>
        <w:spacing w:line="360" w:lineRule="auto"/>
        <w:ind w:firstLine="480" w:firstLineChars="200"/>
        <w:jc w:val="both"/>
        <w:rPr>
          <w:rStyle w:val="105"/>
          <w:szCs w:val="24"/>
        </w:rPr>
      </w:pPr>
      <w:r>
        <w:rPr>
          <w:rStyle w:val="105"/>
          <w:szCs w:val="24"/>
        </w:rPr>
        <w:t>7</w:t>
      </w:r>
      <w:r>
        <w:rPr>
          <w:rStyle w:val="105"/>
          <w:rFonts w:hint="eastAsia"/>
          <w:szCs w:val="24"/>
        </w:rPr>
        <w:t>. 乙方</w:t>
      </w:r>
      <w:r>
        <w:rPr>
          <w:rStyle w:val="105"/>
          <w:szCs w:val="24"/>
        </w:rPr>
        <w:t>没有得到</w:t>
      </w:r>
      <w:r>
        <w:rPr>
          <w:rStyle w:val="105"/>
          <w:rFonts w:hint="eastAsia"/>
          <w:szCs w:val="24"/>
        </w:rPr>
        <w:t>甲方</w:t>
      </w:r>
      <w:r>
        <w:rPr>
          <w:rStyle w:val="105"/>
          <w:szCs w:val="24"/>
        </w:rPr>
        <w:t>的书面同意，任何一方不得将其在本项目研究中的权利和义务转让给其它单位或个人。</w:t>
      </w:r>
    </w:p>
    <w:p>
      <w:pPr>
        <w:snapToGrid w:val="0"/>
        <w:spacing w:line="360" w:lineRule="auto"/>
        <w:ind w:firstLine="480" w:firstLineChars="200"/>
        <w:jc w:val="both"/>
        <w:rPr>
          <w:rStyle w:val="105"/>
          <w:szCs w:val="24"/>
        </w:rPr>
      </w:pPr>
      <w:r>
        <w:rPr>
          <w:rStyle w:val="105"/>
          <w:szCs w:val="24"/>
        </w:rPr>
        <w:t>8</w:t>
      </w:r>
      <w:r>
        <w:rPr>
          <w:rStyle w:val="105"/>
          <w:rFonts w:hint="eastAsia"/>
          <w:szCs w:val="24"/>
        </w:rPr>
        <w:t>. 乙方</w:t>
      </w:r>
      <w:r>
        <w:rPr>
          <w:rStyle w:val="105"/>
          <w:szCs w:val="24"/>
        </w:rPr>
        <w:t>在项目完成后并将相关成果移交</w:t>
      </w:r>
      <w:r>
        <w:rPr>
          <w:rStyle w:val="105"/>
          <w:rFonts w:hint="eastAsia"/>
          <w:szCs w:val="24"/>
        </w:rPr>
        <w:t>甲方</w:t>
      </w:r>
      <w:r>
        <w:rPr>
          <w:rStyle w:val="105"/>
          <w:szCs w:val="24"/>
        </w:rPr>
        <w:t>后，应交回</w:t>
      </w:r>
      <w:r>
        <w:rPr>
          <w:rStyle w:val="105"/>
          <w:rFonts w:hint="eastAsia"/>
          <w:szCs w:val="24"/>
        </w:rPr>
        <w:t>甲方</w:t>
      </w:r>
      <w:r>
        <w:rPr>
          <w:rStyle w:val="105"/>
          <w:szCs w:val="24"/>
        </w:rPr>
        <w:t>提供资料，并依照法定程序和方法销毁涉密勘探及试验成果及其衍生产品。</w:t>
      </w:r>
    </w:p>
    <w:p>
      <w:pPr>
        <w:snapToGrid w:val="0"/>
        <w:spacing w:line="360" w:lineRule="auto"/>
        <w:ind w:firstLine="480" w:firstLineChars="200"/>
        <w:jc w:val="both"/>
        <w:rPr>
          <w:rStyle w:val="105"/>
          <w:szCs w:val="24"/>
        </w:rPr>
      </w:pPr>
      <w:r>
        <w:rPr>
          <w:rStyle w:val="105"/>
          <w:szCs w:val="24"/>
        </w:rPr>
        <w:t>9</w:t>
      </w:r>
      <w:r>
        <w:rPr>
          <w:rStyle w:val="105"/>
          <w:rFonts w:hint="eastAsia"/>
          <w:szCs w:val="24"/>
        </w:rPr>
        <w:t xml:space="preserve">. </w:t>
      </w:r>
      <w:r>
        <w:rPr>
          <w:rStyle w:val="105"/>
          <w:szCs w:val="24"/>
        </w:rPr>
        <w:t>若</w:t>
      </w:r>
      <w:r>
        <w:rPr>
          <w:rStyle w:val="105"/>
          <w:rFonts w:hint="eastAsia"/>
          <w:szCs w:val="24"/>
        </w:rPr>
        <w:t>乙方</w:t>
      </w:r>
      <w:r>
        <w:rPr>
          <w:rStyle w:val="105"/>
          <w:szCs w:val="24"/>
        </w:rPr>
        <w:t>有关人员违反本协议的保密义务导致保密信息遗失、泄露，</w:t>
      </w:r>
      <w:r>
        <w:rPr>
          <w:rStyle w:val="105"/>
          <w:rFonts w:hint="eastAsia"/>
          <w:szCs w:val="24"/>
        </w:rPr>
        <w:t>乙方</w:t>
      </w:r>
      <w:r>
        <w:rPr>
          <w:rStyle w:val="105"/>
          <w:szCs w:val="24"/>
        </w:rPr>
        <w:t>须承担相应责任，并向</w:t>
      </w:r>
      <w:r>
        <w:rPr>
          <w:rStyle w:val="105"/>
          <w:rFonts w:hint="eastAsia"/>
          <w:szCs w:val="24"/>
        </w:rPr>
        <w:t>甲方</w:t>
      </w:r>
      <w:r>
        <w:rPr>
          <w:rStyle w:val="105"/>
          <w:szCs w:val="24"/>
        </w:rPr>
        <w:t>赔偿由此造成的商业损失，涉及国家秘密的按国家相关保密法律进行处理。</w:t>
      </w:r>
    </w:p>
    <w:p>
      <w:pPr>
        <w:snapToGrid w:val="0"/>
        <w:spacing w:line="360" w:lineRule="auto"/>
        <w:ind w:firstLine="480" w:firstLineChars="200"/>
        <w:jc w:val="both"/>
        <w:rPr>
          <w:rStyle w:val="105"/>
          <w:szCs w:val="24"/>
        </w:rPr>
      </w:pPr>
      <w:r>
        <w:rPr>
          <w:rStyle w:val="105"/>
          <w:szCs w:val="24"/>
        </w:rPr>
        <w:t>三、其它</w:t>
      </w:r>
    </w:p>
    <w:p>
      <w:pPr>
        <w:snapToGrid w:val="0"/>
        <w:spacing w:line="360" w:lineRule="auto"/>
        <w:ind w:firstLine="480" w:firstLineChars="200"/>
        <w:jc w:val="both"/>
        <w:rPr>
          <w:rStyle w:val="105"/>
          <w:szCs w:val="24"/>
        </w:rPr>
      </w:pPr>
      <w:r>
        <w:rPr>
          <w:rStyle w:val="105"/>
          <w:szCs w:val="24"/>
        </w:rPr>
        <w:t>1</w:t>
      </w:r>
      <w:r>
        <w:rPr>
          <w:rStyle w:val="105"/>
          <w:rFonts w:hint="eastAsia"/>
          <w:szCs w:val="24"/>
        </w:rPr>
        <w:t xml:space="preserve">. </w:t>
      </w:r>
      <w:r>
        <w:rPr>
          <w:rStyle w:val="105"/>
          <w:szCs w:val="24"/>
        </w:rPr>
        <w:t>本协议的各部分构成完整的保密协议，未经双方书面同意，本协议不得变更或修改。</w:t>
      </w:r>
    </w:p>
    <w:p>
      <w:pPr>
        <w:snapToGrid w:val="0"/>
        <w:spacing w:line="360" w:lineRule="auto"/>
        <w:ind w:firstLine="480" w:firstLineChars="200"/>
        <w:jc w:val="both"/>
        <w:rPr>
          <w:rStyle w:val="105"/>
          <w:szCs w:val="24"/>
        </w:rPr>
      </w:pPr>
      <w:r>
        <w:rPr>
          <w:rStyle w:val="105"/>
          <w:szCs w:val="24"/>
        </w:rPr>
        <w:t>2</w:t>
      </w:r>
      <w:r>
        <w:rPr>
          <w:rStyle w:val="105"/>
          <w:rFonts w:hint="eastAsia"/>
          <w:szCs w:val="24"/>
        </w:rPr>
        <w:t xml:space="preserve"> .</w:t>
      </w:r>
      <w:r>
        <w:rPr>
          <w:rStyle w:val="105"/>
          <w:szCs w:val="24"/>
        </w:rPr>
        <w:t>双方承认并同意，除</w:t>
      </w:r>
      <w:r>
        <w:rPr>
          <w:rStyle w:val="105"/>
          <w:rFonts w:hint="eastAsia"/>
          <w:szCs w:val="24"/>
        </w:rPr>
        <w:t>乙方</w:t>
      </w:r>
      <w:r>
        <w:rPr>
          <w:rStyle w:val="105"/>
          <w:szCs w:val="24"/>
        </w:rPr>
        <w:t>以书面形式明确表达外，</w:t>
      </w:r>
      <w:r>
        <w:rPr>
          <w:rStyle w:val="105"/>
          <w:rFonts w:hint="eastAsia"/>
          <w:szCs w:val="24"/>
        </w:rPr>
        <w:t>甲方</w:t>
      </w:r>
      <w:r>
        <w:rPr>
          <w:rStyle w:val="105"/>
          <w:szCs w:val="24"/>
        </w:rPr>
        <w:t>向</w:t>
      </w:r>
      <w:r>
        <w:rPr>
          <w:rStyle w:val="105"/>
          <w:rFonts w:hint="eastAsia"/>
          <w:szCs w:val="24"/>
        </w:rPr>
        <w:t>乙方</w:t>
      </w:r>
      <w:r>
        <w:rPr>
          <w:rStyle w:val="105"/>
          <w:szCs w:val="24"/>
        </w:rPr>
        <w:t>披露保密信息并不构成</w:t>
      </w:r>
      <w:r>
        <w:rPr>
          <w:rStyle w:val="105"/>
          <w:rFonts w:hint="eastAsia"/>
          <w:szCs w:val="24"/>
        </w:rPr>
        <w:t>甲方</w:t>
      </w:r>
      <w:r>
        <w:rPr>
          <w:rStyle w:val="105"/>
          <w:szCs w:val="24"/>
        </w:rPr>
        <w:t>向</w:t>
      </w:r>
      <w:r>
        <w:rPr>
          <w:rStyle w:val="105"/>
          <w:rFonts w:hint="eastAsia"/>
          <w:szCs w:val="24"/>
        </w:rPr>
        <w:t>乙方</w:t>
      </w:r>
      <w:r>
        <w:rPr>
          <w:rStyle w:val="105"/>
          <w:szCs w:val="24"/>
        </w:rPr>
        <w:t>转让或授予</w:t>
      </w:r>
      <w:r>
        <w:rPr>
          <w:rStyle w:val="105"/>
          <w:rFonts w:hint="eastAsia"/>
          <w:szCs w:val="24"/>
        </w:rPr>
        <w:t>乙方</w:t>
      </w:r>
      <w:r>
        <w:rPr>
          <w:rStyle w:val="105"/>
          <w:szCs w:val="24"/>
        </w:rPr>
        <w:t>享有</w:t>
      </w:r>
      <w:r>
        <w:rPr>
          <w:rStyle w:val="105"/>
          <w:rFonts w:hint="eastAsia"/>
          <w:szCs w:val="24"/>
        </w:rPr>
        <w:t>甲方</w:t>
      </w:r>
      <w:r>
        <w:rPr>
          <w:rStyle w:val="105"/>
          <w:szCs w:val="24"/>
        </w:rPr>
        <w:t>对其成果资料秘密或其它知识产权拥有的利益，亦不构成向</w:t>
      </w:r>
      <w:r>
        <w:rPr>
          <w:rStyle w:val="105"/>
          <w:rFonts w:hint="eastAsia"/>
          <w:szCs w:val="24"/>
        </w:rPr>
        <w:t>乙方</w:t>
      </w:r>
      <w:r>
        <w:rPr>
          <w:rStyle w:val="105"/>
          <w:szCs w:val="24"/>
        </w:rPr>
        <w:t>转让或其它知识产权等有关利益。</w:t>
      </w:r>
    </w:p>
    <w:p>
      <w:pPr>
        <w:snapToGrid w:val="0"/>
        <w:spacing w:line="360" w:lineRule="auto"/>
        <w:ind w:firstLine="480" w:firstLineChars="200"/>
        <w:jc w:val="both"/>
        <w:rPr>
          <w:rStyle w:val="105"/>
          <w:szCs w:val="24"/>
        </w:rPr>
      </w:pPr>
      <w:r>
        <w:rPr>
          <w:rStyle w:val="105"/>
          <w:szCs w:val="24"/>
        </w:rPr>
        <w:t>3</w:t>
      </w:r>
      <w:r>
        <w:rPr>
          <w:rStyle w:val="105"/>
          <w:rFonts w:hint="eastAsia"/>
          <w:szCs w:val="24"/>
        </w:rPr>
        <w:t xml:space="preserve">. </w:t>
      </w:r>
      <w:r>
        <w:rPr>
          <w:rStyle w:val="105"/>
          <w:szCs w:val="24"/>
        </w:rPr>
        <w:t>本协议接受中国法律管辖并按中国法律解释。对因本协议项下各方的权利和义务而发生的有关的任何争议，双方应首先协商解决，如无法通过协商解决，则应申请成都仲裁委员会仲裁解决。</w:t>
      </w:r>
    </w:p>
    <w:p>
      <w:pPr>
        <w:snapToGrid w:val="0"/>
        <w:spacing w:line="360" w:lineRule="auto"/>
        <w:ind w:firstLine="480" w:firstLineChars="200"/>
        <w:jc w:val="both"/>
        <w:rPr>
          <w:rStyle w:val="105"/>
          <w:szCs w:val="24"/>
        </w:rPr>
      </w:pPr>
      <w:r>
        <w:rPr>
          <w:rStyle w:val="105"/>
          <w:szCs w:val="24"/>
        </w:rPr>
        <w:t>4、鉴于保密工作的特殊性，双方在（合同名称及合同编号）成果的保密工作中具有长期的有效性。</w:t>
      </w:r>
    </w:p>
    <w:p>
      <w:pPr>
        <w:snapToGrid w:val="0"/>
        <w:spacing w:line="360" w:lineRule="auto"/>
        <w:ind w:firstLine="480" w:firstLineChars="200"/>
        <w:jc w:val="both"/>
        <w:rPr>
          <w:rStyle w:val="105"/>
          <w:szCs w:val="24"/>
        </w:rPr>
      </w:pPr>
      <w:r>
        <w:rPr>
          <w:rStyle w:val="105"/>
          <w:szCs w:val="24"/>
        </w:rPr>
        <w:t>5</w:t>
      </w:r>
      <w:r>
        <w:rPr>
          <w:rStyle w:val="105"/>
          <w:rFonts w:hint="eastAsia"/>
          <w:szCs w:val="24"/>
        </w:rPr>
        <w:t xml:space="preserve">. </w:t>
      </w:r>
      <w:r>
        <w:rPr>
          <w:rStyle w:val="105"/>
          <w:szCs w:val="24"/>
        </w:rPr>
        <w:t>本协议作为</w:t>
      </w:r>
      <w:r>
        <w:rPr>
          <w:rFonts w:hAnsi="宋体" w:eastAsia="宋体"/>
          <w:u w:val="single"/>
        </w:rPr>
        <w:t>金沙水电站竣工环境保护验收</w:t>
      </w:r>
      <w:r>
        <w:rPr>
          <w:rFonts w:hint="eastAsia" w:hAnsi="宋体" w:eastAsia="宋体"/>
          <w:u w:val="single"/>
        </w:rPr>
        <w:t>及陆生生态调查技术</w:t>
      </w:r>
      <w:r>
        <w:rPr>
          <w:rFonts w:hAnsi="宋体" w:eastAsia="宋体"/>
          <w:u w:val="single"/>
        </w:rPr>
        <w:t>服务</w:t>
      </w:r>
      <w:r>
        <w:rPr>
          <w:rFonts w:hint="eastAsia" w:hAnsi="宋体" w:eastAsia="宋体"/>
        </w:rPr>
        <w:t>（合同编号：PZH-JS-QT-247）</w:t>
      </w:r>
      <w:r>
        <w:rPr>
          <w:rStyle w:val="105"/>
          <w:szCs w:val="24"/>
        </w:rPr>
        <w:t>的一部分，双方签字盖章后即生效，有效期同主合同一致。</w:t>
      </w:r>
    </w:p>
    <w:p>
      <w:pPr>
        <w:spacing w:line="360" w:lineRule="auto"/>
        <w:rPr>
          <w:rStyle w:val="105"/>
          <w:szCs w:val="24"/>
        </w:rPr>
      </w:pPr>
      <w:r>
        <w:rPr>
          <w:rStyle w:val="105"/>
          <w:rFonts w:hint="eastAsia"/>
          <w:szCs w:val="24"/>
        </w:rPr>
        <w:t xml:space="preserve"> </w:t>
      </w:r>
    </w:p>
    <w:p>
      <w:pPr>
        <w:spacing w:line="360" w:lineRule="auto"/>
        <w:rPr>
          <w:rStyle w:val="105"/>
          <w:szCs w:val="24"/>
        </w:rPr>
      </w:pPr>
    </w:p>
    <w:p>
      <w:pPr>
        <w:spacing w:line="360" w:lineRule="auto"/>
        <w:rPr>
          <w:rStyle w:val="105"/>
          <w:szCs w:val="24"/>
        </w:rPr>
      </w:pPr>
    </w:p>
    <w:p>
      <w:pPr>
        <w:spacing w:line="360" w:lineRule="auto"/>
        <w:rPr>
          <w:rStyle w:val="105"/>
          <w:szCs w:val="24"/>
        </w:rPr>
      </w:pPr>
    </w:p>
    <w:p>
      <w:pPr>
        <w:spacing w:line="360" w:lineRule="auto"/>
        <w:ind w:firstLine="240" w:firstLineChars="100"/>
        <w:rPr>
          <w:rStyle w:val="105"/>
          <w:szCs w:val="24"/>
        </w:rPr>
      </w:pPr>
      <w:r>
        <w:rPr>
          <w:rStyle w:val="105"/>
          <w:rFonts w:hint="eastAsia"/>
          <w:szCs w:val="24"/>
        </w:rPr>
        <w:t>（签署栏）</w:t>
      </w:r>
    </w:p>
    <w:tbl>
      <w:tblPr>
        <w:tblStyle w:val="48"/>
        <w:tblW w:w="0" w:type="auto"/>
        <w:tblInd w:w="0" w:type="dxa"/>
        <w:tblLayout w:type="fixed"/>
        <w:tblCellMar>
          <w:top w:w="0" w:type="dxa"/>
          <w:left w:w="108" w:type="dxa"/>
          <w:bottom w:w="0" w:type="dxa"/>
          <w:right w:w="108" w:type="dxa"/>
        </w:tblCellMar>
      </w:tblPr>
      <w:tblGrid>
        <w:gridCol w:w="4530"/>
        <w:gridCol w:w="4655"/>
      </w:tblGrid>
      <w:tr>
        <w:tblPrEx>
          <w:tblCellMar>
            <w:top w:w="0" w:type="dxa"/>
            <w:left w:w="108" w:type="dxa"/>
            <w:bottom w:w="0" w:type="dxa"/>
            <w:right w:w="108" w:type="dxa"/>
          </w:tblCellMar>
        </w:tblPrEx>
        <w:trPr>
          <w:trHeight w:val="1081" w:hRule="atLeast"/>
        </w:trPr>
        <w:tc>
          <w:tcPr>
            <w:tcW w:w="4530" w:type="dxa"/>
          </w:tcPr>
          <w:p>
            <w:pPr>
              <w:tabs>
                <w:tab w:val="left" w:pos="4800"/>
              </w:tabs>
              <w:spacing w:line="360" w:lineRule="auto"/>
              <w:rPr>
                <w:rFonts w:eastAsia="宋体"/>
                <w:u w:val="single"/>
              </w:rPr>
            </w:pPr>
            <w:r>
              <w:rPr>
                <w:rFonts w:eastAsia="宋体"/>
              </w:rPr>
              <w:t>甲方：</w:t>
            </w:r>
          </w:p>
        </w:tc>
        <w:tc>
          <w:tcPr>
            <w:tcW w:w="4655" w:type="dxa"/>
          </w:tcPr>
          <w:p>
            <w:pPr>
              <w:tabs>
                <w:tab w:val="left" w:pos="4800"/>
              </w:tabs>
              <w:spacing w:line="360" w:lineRule="auto"/>
              <w:rPr>
                <w:rFonts w:eastAsia="宋体"/>
              </w:rPr>
            </w:pPr>
            <w:r>
              <w:rPr>
                <w:rFonts w:eastAsia="宋体"/>
              </w:rPr>
              <w:t>乙方：</w:t>
            </w:r>
          </w:p>
          <w:p>
            <w:pPr>
              <w:tabs>
                <w:tab w:val="left" w:pos="4800"/>
              </w:tabs>
              <w:spacing w:line="360" w:lineRule="auto"/>
              <w:rPr>
                <w:rFonts w:eastAsia="宋体"/>
                <w:u w:val="single"/>
              </w:rPr>
            </w:pPr>
            <w:r>
              <w:rPr>
                <w:rFonts w:eastAsia="宋体"/>
              </w:rPr>
              <w:t xml:space="preserve">                                                  </w:t>
            </w:r>
          </w:p>
        </w:tc>
      </w:tr>
      <w:tr>
        <w:tblPrEx>
          <w:tblCellMar>
            <w:top w:w="0" w:type="dxa"/>
            <w:left w:w="108" w:type="dxa"/>
            <w:bottom w:w="0" w:type="dxa"/>
            <w:right w:w="108" w:type="dxa"/>
          </w:tblCellMar>
        </w:tblPrEx>
        <w:trPr>
          <w:trHeight w:val="746" w:hRule="atLeast"/>
        </w:trPr>
        <w:tc>
          <w:tcPr>
            <w:tcW w:w="4530" w:type="dxa"/>
          </w:tcPr>
          <w:p>
            <w:pPr>
              <w:tabs>
                <w:tab w:val="left" w:pos="4800"/>
              </w:tabs>
              <w:spacing w:line="360" w:lineRule="auto"/>
              <w:rPr>
                <w:rFonts w:eastAsia="宋体"/>
              </w:rPr>
            </w:pPr>
            <w:r>
              <w:rPr>
                <w:rFonts w:eastAsia="宋体"/>
              </w:rPr>
              <w:t>法定代表人</w:t>
            </w:r>
            <w:r>
              <w:rPr>
                <w:rFonts w:eastAsia="宋体"/>
              </w:rPr>
              <w:tab/>
            </w:r>
            <w:r>
              <w:rPr>
                <w:rFonts w:eastAsia="宋体"/>
              </w:rPr>
              <w:tab/>
            </w:r>
            <w:r>
              <w:rPr>
                <w:rFonts w:eastAsia="宋体"/>
              </w:rPr>
              <w:tab/>
            </w:r>
          </w:p>
          <w:p>
            <w:pPr>
              <w:spacing w:line="360" w:lineRule="auto"/>
              <w:rPr>
                <w:rFonts w:eastAsia="宋体"/>
              </w:rPr>
            </w:pPr>
            <w:r>
              <w:rPr>
                <w:rFonts w:eastAsia="宋体"/>
              </w:rPr>
              <w:t>(或委托代理人)：</w:t>
            </w:r>
          </w:p>
        </w:tc>
        <w:tc>
          <w:tcPr>
            <w:tcW w:w="4655" w:type="dxa"/>
          </w:tcPr>
          <w:p>
            <w:pPr>
              <w:tabs>
                <w:tab w:val="left" w:pos="4800"/>
              </w:tabs>
              <w:spacing w:line="360" w:lineRule="auto"/>
              <w:rPr>
                <w:rFonts w:eastAsia="宋体"/>
              </w:rPr>
            </w:pPr>
            <w:r>
              <w:rPr>
                <w:rFonts w:eastAsia="宋体"/>
              </w:rPr>
              <w:t>法定代表人</w:t>
            </w:r>
            <w:r>
              <w:rPr>
                <w:rFonts w:eastAsia="宋体"/>
              </w:rPr>
              <w:tab/>
            </w:r>
            <w:r>
              <w:rPr>
                <w:rFonts w:eastAsia="宋体"/>
              </w:rPr>
              <w:tab/>
            </w:r>
            <w:r>
              <w:rPr>
                <w:rFonts w:eastAsia="宋体"/>
              </w:rPr>
              <w:tab/>
            </w:r>
          </w:p>
          <w:p>
            <w:pPr>
              <w:spacing w:line="360" w:lineRule="auto"/>
              <w:rPr>
                <w:rFonts w:eastAsia="宋体"/>
              </w:rPr>
            </w:pPr>
            <w:r>
              <w:rPr>
                <w:rFonts w:eastAsia="宋体"/>
              </w:rPr>
              <w:t>(或委托代理人)：</w:t>
            </w:r>
          </w:p>
        </w:tc>
      </w:tr>
      <w:tr>
        <w:tblPrEx>
          <w:tblCellMar>
            <w:top w:w="0" w:type="dxa"/>
            <w:left w:w="108" w:type="dxa"/>
            <w:bottom w:w="0" w:type="dxa"/>
            <w:right w:w="108" w:type="dxa"/>
          </w:tblCellMar>
        </w:tblPrEx>
        <w:tc>
          <w:tcPr>
            <w:tcW w:w="9185" w:type="dxa"/>
            <w:gridSpan w:val="2"/>
          </w:tcPr>
          <w:p>
            <w:pPr>
              <w:spacing w:line="360" w:lineRule="auto"/>
              <w:jc w:val="center"/>
              <w:rPr>
                <w:rFonts w:eastAsia="宋体"/>
              </w:rPr>
            </w:pPr>
            <w:r>
              <w:rPr>
                <w:rFonts w:hint="eastAsia" w:eastAsia="宋体"/>
              </w:rPr>
              <w:t>日 期：       年       月       日</w:t>
            </w:r>
          </w:p>
        </w:tc>
      </w:tr>
    </w:tbl>
    <w:p>
      <w:pPr>
        <w:spacing w:line="360" w:lineRule="auto"/>
        <w:rPr>
          <w:rStyle w:val="105"/>
          <w:szCs w:val="24"/>
        </w:rPr>
      </w:pPr>
    </w:p>
    <w:p>
      <w:pPr>
        <w:widowControl/>
        <w:autoSpaceDE/>
        <w:autoSpaceDN/>
        <w:adjustRightInd/>
        <w:rPr>
          <w:rFonts w:ascii="宋体" w:hAnsi="宋体" w:eastAsia="宋体"/>
        </w:rPr>
        <w:sectPr>
          <w:pgSz w:w="11907" w:h="16840"/>
          <w:pgMar w:top="1440" w:right="1440" w:bottom="1440" w:left="1440" w:header="992" w:footer="992" w:gutter="0"/>
          <w:cols w:equalWidth="0" w:num="1">
            <w:col w:w="9080"/>
          </w:cols>
        </w:sectPr>
      </w:pPr>
      <w:r>
        <w:rPr>
          <w:rFonts w:ascii="宋体" w:hAnsi="宋体" w:eastAsia="宋体"/>
          <w:snapToGrid w:val="0"/>
        </w:rPr>
        <w:br w:type="page"/>
      </w:r>
    </w:p>
    <w:p>
      <w:pPr>
        <w:pStyle w:val="3"/>
        <w:topLinePunct/>
        <w:autoSpaceDE/>
        <w:autoSpaceDN/>
        <w:textAlignment w:val="center"/>
        <w:rPr>
          <w:rFonts w:ascii="宋体" w:hAnsi="宋体" w:eastAsia="宋体"/>
        </w:rPr>
      </w:pPr>
      <w:bookmarkStart w:id="179" w:name="_Toc6902"/>
      <w:r>
        <w:rPr>
          <w:rFonts w:hint="eastAsia" w:ascii="宋体" w:hAnsi="宋体" w:eastAsia="宋体"/>
        </w:rPr>
        <w:t>第五章  招标人要求</w:t>
      </w:r>
      <w:bookmarkEnd w:id="179"/>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招标人要求应尽可能清晰准确，对于可以进行定量评估的工作，招标人要求不仅应明确规定其功能、用途、质量、环境、安全，并且要规定偏差的范围和计算方法，以及检验、试验、试运行的具体要求。对于咨询方负责提供的有关服务，在招标人要求中应一并明确规定。</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招标人要求包括但不限于以下内容：</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1．</w:t>
      </w:r>
      <w:r>
        <w:rPr>
          <w:rFonts w:hint="eastAsia" w:ascii="宋体" w:hAnsi="宋体" w:eastAsia="宋体"/>
        </w:rPr>
        <w:t>技术</w:t>
      </w:r>
      <w:r>
        <w:rPr>
          <w:rFonts w:ascii="宋体" w:hAnsi="宋体" w:eastAsia="宋体"/>
        </w:rPr>
        <w:t>服务要求</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1.1 项目概况</w:t>
      </w:r>
    </w:p>
    <w:p>
      <w:pPr>
        <w:spacing w:line="360" w:lineRule="auto"/>
        <w:ind w:firstLine="480" w:firstLineChars="200"/>
        <w:rPr>
          <w:rFonts w:eastAsia="宋体"/>
          <w:szCs w:val="20"/>
        </w:rPr>
      </w:pPr>
      <w:r>
        <w:rPr>
          <w:rFonts w:hAnsi="宋体" w:eastAsia="宋体"/>
          <w:szCs w:val="20"/>
        </w:rPr>
        <w:t>金沙水电站位于金沙江干流中游末端的攀枝花河段上，是金沙江攀枝花河段水电规划的梯级水电站之一。电站坝址位于攀枝花市中心城区，上距在建的观音岩水电站坝址</w:t>
      </w:r>
      <w:r>
        <w:rPr>
          <w:rFonts w:eastAsia="宋体"/>
          <w:szCs w:val="20"/>
        </w:rPr>
        <w:t>28.9km</w:t>
      </w:r>
      <w:r>
        <w:rPr>
          <w:rFonts w:hAnsi="宋体" w:eastAsia="宋体"/>
          <w:szCs w:val="20"/>
        </w:rPr>
        <w:t>，下距规划的银江水电站坝址约</w:t>
      </w:r>
      <w:r>
        <w:rPr>
          <w:rFonts w:eastAsia="宋体"/>
          <w:szCs w:val="20"/>
        </w:rPr>
        <w:t>21km</w:t>
      </w:r>
      <w:r>
        <w:rPr>
          <w:rFonts w:hAnsi="宋体" w:eastAsia="宋体"/>
          <w:szCs w:val="20"/>
        </w:rPr>
        <w:t>。坝址左岸为攀枝花市西区，城市路（苏铁东路）可直达坝区，右岸为攀枝花市仁和区，库尾涉及云南省丽江市华坪县。</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1.2. </w:t>
      </w:r>
      <w:r>
        <w:rPr>
          <w:rFonts w:hint="eastAsia" w:ascii="宋体" w:hAnsi="宋体" w:eastAsia="宋体"/>
        </w:rPr>
        <w:t>技术服务范围及主要研究内容</w:t>
      </w:r>
    </w:p>
    <w:p>
      <w:pPr>
        <w:topLinePunct/>
        <w:autoSpaceDE/>
        <w:autoSpaceDN/>
        <w:snapToGrid w:val="0"/>
        <w:spacing w:line="360" w:lineRule="auto"/>
        <w:ind w:firstLine="480" w:firstLineChars="200"/>
        <w:jc w:val="both"/>
        <w:textAlignment w:val="center"/>
        <w:rPr>
          <w:rFonts w:eastAsia="宋体"/>
        </w:rPr>
      </w:pPr>
      <w:r>
        <w:rPr>
          <w:rFonts w:hint="eastAsia" w:eastAsia="宋体"/>
        </w:rPr>
        <w:t>本次技术服务范围为金沙水电站工程竣工环境保护验收调查范围，即枢纽工程施工区域、水库淹没区域、移民安置区域等工程建设区域及环境影响区域。工作内容包括但不限于：</w:t>
      </w:r>
    </w:p>
    <w:p>
      <w:pPr>
        <w:topLinePunct/>
        <w:autoSpaceDE/>
        <w:autoSpaceDN/>
        <w:snapToGrid w:val="0"/>
        <w:spacing w:line="360" w:lineRule="auto"/>
        <w:ind w:firstLine="480" w:firstLineChars="200"/>
        <w:jc w:val="both"/>
        <w:textAlignment w:val="center"/>
        <w:rPr>
          <w:rFonts w:eastAsia="宋体"/>
        </w:rPr>
      </w:pPr>
      <w:r>
        <w:rPr>
          <w:rFonts w:hint="eastAsia" w:eastAsia="宋体"/>
        </w:rPr>
        <w:t>依据建设项目竣工环境保护验收等国家法律法规、规范规程、技术标准及金沙水电站工程环境影响报告书及批复要求开展金沙水电站工程竣工环境保护验收与调查相关工作，编制提交金沙水电站工程竣工环境保护验收调查报告及备案所需的专题报告，配合建设单位开展工程竣工保护验收的自查、验收、公示及备案等相关工作。</w:t>
      </w:r>
    </w:p>
    <w:p>
      <w:pPr>
        <w:topLinePunct/>
        <w:autoSpaceDE/>
        <w:autoSpaceDN/>
        <w:snapToGrid w:val="0"/>
        <w:spacing w:line="360" w:lineRule="auto"/>
        <w:ind w:firstLine="480" w:firstLineChars="200"/>
        <w:jc w:val="both"/>
        <w:textAlignment w:val="center"/>
        <w:rPr>
          <w:rFonts w:eastAsia="宋体"/>
        </w:rPr>
      </w:pPr>
      <w:r>
        <w:rPr>
          <w:rFonts w:hint="eastAsia" w:eastAsia="宋体"/>
        </w:rPr>
        <w:t>主要调查枢纽工程施工区、水库淹没区、移民安置区等工程建设区及环境影响区内工程竣工实际工程内容及变更情况；调查工程竣工环境敏感目标基本情况及变更情况；调查实际工程内容及变更情况造成的环境影响变化；调查环境影响报告书及批复文件提出的工程环保设施落实情况及其效果；工程施工阶段主要环境影响，环境风险防范与应急措施落实情况及有效性；调查工程水库淹没及移民安置区环境保护落实情况；调查工程实际存在的环境问题以及公众关注的环境问题；核查工程环境监测和环境监理执行情况及其效果；核查工程环保投资情况；根据调查情况，形成验收结论和工作建议，评估工程施工期间环境状况及环境保护工作落实情况等相关工作。</w:t>
      </w:r>
    </w:p>
    <w:p>
      <w:pPr>
        <w:topLinePunct/>
        <w:autoSpaceDE/>
        <w:autoSpaceDN/>
        <w:snapToGrid w:val="0"/>
        <w:spacing w:line="360" w:lineRule="auto"/>
        <w:ind w:firstLine="480" w:firstLineChars="200"/>
        <w:jc w:val="both"/>
        <w:textAlignment w:val="center"/>
        <w:rPr>
          <w:rFonts w:eastAsia="宋体"/>
        </w:rPr>
      </w:pPr>
      <w:r>
        <w:rPr>
          <w:rFonts w:eastAsia="宋体"/>
        </w:rPr>
        <w:t>1.2.4</w:t>
      </w:r>
      <w:r>
        <w:rPr>
          <w:rFonts w:hint="eastAsia" w:eastAsia="宋体"/>
        </w:rPr>
        <w:t>其它工作</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eastAsia="宋体"/>
        </w:rPr>
        <w:t>协助招标人完善本工程竣工环境保护验收资料和其他相关准备工作；协助招标人组织开展现场勘查和验收会议及竣工环境保护验收公示及备案等相关工作。</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1.3. </w:t>
      </w:r>
      <w:r>
        <w:rPr>
          <w:rFonts w:hint="eastAsia" w:ascii="宋体" w:hAnsi="宋体" w:eastAsia="宋体"/>
        </w:rPr>
        <w:t>技术服务依据</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eastAsia="宋体"/>
        </w:rPr>
        <w:t>按照原环保部对金沙水电站的环评批复要求，建设单位应按照《建设项目竣工环境保护验收管理办法》《建设项目竣工环境保护验收暂行办法》的规定开展竣工环境保护验收。</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1.4. </w:t>
      </w:r>
      <w:r>
        <w:rPr>
          <w:rFonts w:hint="eastAsia" w:ascii="宋体" w:hAnsi="宋体" w:eastAsia="宋体"/>
        </w:rPr>
        <w:t>技术服务的具体目标</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eastAsia="宋体"/>
        </w:rPr>
        <w:t>符合国家、行业、地方现行规定的标准、规程与规范，通过建设单位组织的自主验收公示及登记备案。</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2．适用规范标准</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2.1 </w:t>
      </w:r>
      <w:r>
        <w:rPr>
          <w:rFonts w:hint="eastAsia" w:ascii="宋体" w:hAnsi="宋体" w:eastAsia="宋体"/>
        </w:rPr>
        <w:t>法律法规</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《中华人民共和国环境保护法》</w:t>
      </w:r>
      <w:r>
        <w:rPr>
          <w:rFonts w:ascii="Times New Roman" w:eastAsia="宋体" w:cs="Times New Roman"/>
          <w:sz w:val="24"/>
          <w:lang w:bidi="en-US"/>
        </w:rPr>
        <w:t>(2015</w:t>
      </w:r>
      <w:r>
        <w:rPr>
          <w:rFonts w:ascii="Times New Roman" w:hAnsi="宋体" w:eastAsia="宋体" w:cs="Times New Roman"/>
          <w:sz w:val="24"/>
          <w:lang w:bidi="en-US"/>
        </w:rPr>
        <w:t>年</w:t>
      </w:r>
      <w:r>
        <w:rPr>
          <w:rFonts w:ascii="Times New Roman" w:eastAsia="宋体" w:cs="Times New Roman"/>
          <w:sz w:val="24"/>
          <w:lang w:bidi="en-US"/>
        </w:rPr>
        <w:t>1</w:t>
      </w:r>
      <w:r>
        <w:rPr>
          <w:rFonts w:ascii="Times New Roman" w:hAnsi="宋体" w:eastAsia="宋体" w:cs="Times New Roman"/>
          <w:sz w:val="24"/>
          <w:lang w:bidi="en-US"/>
        </w:rPr>
        <w:t>月</w:t>
      </w:r>
      <w:r>
        <w:rPr>
          <w:rFonts w:ascii="Times New Roman" w:eastAsia="宋体" w:cs="Times New Roman"/>
          <w:sz w:val="24"/>
          <w:lang w:bidi="en-US"/>
        </w:rPr>
        <w:t>1</w:t>
      </w:r>
      <w:r>
        <w:rPr>
          <w:rFonts w:ascii="Times New Roman" w:hAnsi="宋体" w:eastAsia="宋体" w:cs="Times New Roman"/>
          <w:sz w:val="24"/>
          <w:lang w:bidi="en-US"/>
        </w:rPr>
        <w:t>日</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《中华人民共和国环境影响评价法》</w:t>
      </w:r>
      <w:r>
        <w:rPr>
          <w:rFonts w:ascii="Times New Roman" w:eastAsia="宋体" w:cs="Times New Roman"/>
          <w:sz w:val="24"/>
          <w:lang w:bidi="en-US"/>
        </w:rPr>
        <w:t>(2016</w:t>
      </w:r>
      <w:r>
        <w:rPr>
          <w:rFonts w:ascii="Times New Roman" w:hAnsi="宋体" w:eastAsia="宋体" w:cs="Times New Roman"/>
          <w:sz w:val="24"/>
          <w:lang w:bidi="en-US"/>
        </w:rPr>
        <w:t>年</w:t>
      </w:r>
      <w:r>
        <w:rPr>
          <w:rFonts w:ascii="Times New Roman" w:eastAsia="宋体" w:cs="Times New Roman"/>
          <w:sz w:val="24"/>
          <w:lang w:bidi="en-US"/>
        </w:rPr>
        <w:t>9</w:t>
      </w:r>
      <w:r>
        <w:rPr>
          <w:rFonts w:ascii="Times New Roman" w:hAnsi="宋体" w:eastAsia="宋体" w:cs="Times New Roman"/>
          <w:sz w:val="24"/>
          <w:lang w:bidi="en-US"/>
        </w:rPr>
        <w:t>月</w:t>
      </w:r>
      <w:r>
        <w:rPr>
          <w:rFonts w:ascii="Times New Roman" w:eastAsia="宋体" w:cs="Times New Roman"/>
          <w:sz w:val="24"/>
          <w:lang w:bidi="en-US"/>
        </w:rPr>
        <w:t>1</w:t>
      </w:r>
      <w:r>
        <w:rPr>
          <w:rFonts w:ascii="Times New Roman" w:hAnsi="宋体" w:eastAsia="宋体" w:cs="Times New Roman"/>
          <w:sz w:val="24"/>
          <w:lang w:bidi="en-US"/>
        </w:rPr>
        <w:t>日</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《中华人民共和国水法》</w:t>
      </w:r>
      <w:r>
        <w:rPr>
          <w:rFonts w:ascii="Times New Roman" w:eastAsia="宋体" w:cs="Times New Roman"/>
          <w:sz w:val="24"/>
          <w:lang w:bidi="en-US"/>
        </w:rPr>
        <w:t>(2016</w:t>
      </w:r>
      <w:r>
        <w:rPr>
          <w:rFonts w:ascii="Times New Roman" w:hAnsi="宋体" w:eastAsia="宋体" w:cs="Times New Roman"/>
          <w:sz w:val="24"/>
          <w:lang w:bidi="en-US"/>
        </w:rPr>
        <w:t>年</w:t>
      </w:r>
      <w:r>
        <w:rPr>
          <w:rFonts w:ascii="Times New Roman" w:eastAsia="宋体" w:cs="Times New Roman"/>
          <w:sz w:val="24"/>
          <w:lang w:bidi="en-US"/>
        </w:rPr>
        <w:t>7</w:t>
      </w:r>
      <w:r>
        <w:rPr>
          <w:rFonts w:ascii="Times New Roman" w:hAnsi="宋体" w:eastAsia="宋体" w:cs="Times New Roman"/>
          <w:sz w:val="24"/>
          <w:lang w:bidi="en-US"/>
        </w:rPr>
        <w:t>月</w:t>
      </w:r>
      <w:r>
        <w:rPr>
          <w:rFonts w:ascii="Times New Roman" w:eastAsia="宋体" w:cs="Times New Roman"/>
          <w:sz w:val="24"/>
          <w:lang w:bidi="en-US"/>
        </w:rPr>
        <w:t>2</w:t>
      </w:r>
      <w:r>
        <w:rPr>
          <w:rFonts w:ascii="Times New Roman" w:hAnsi="宋体" w:eastAsia="宋体" w:cs="Times New Roman"/>
          <w:sz w:val="24"/>
          <w:lang w:bidi="en-US"/>
        </w:rPr>
        <w:t>日</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《中华人民共和国水污染防治法》</w:t>
      </w:r>
      <w:r>
        <w:rPr>
          <w:rFonts w:ascii="Times New Roman" w:eastAsia="宋体" w:cs="Times New Roman"/>
          <w:sz w:val="24"/>
          <w:lang w:bidi="en-US"/>
        </w:rPr>
        <w:t>(2018</w:t>
      </w:r>
      <w:r>
        <w:rPr>
          <w:rFonts w:ascii="Times New Roman" w:hAnsi="宋体" w:eastAsia="宋体" w:cs="Times New Roman"/>
          <w:sz w:val="24"/>
          <w:lang w:bidi="en-US"/>
        </w:rPr>
        <w:t>年</w:t>
      </w:r>
      <w:r>
        <w:rPr>
          <w:rFonts w:ascii="Times New Roman" w:eastAsia="宋体" w:cs="Times New Roman"/>
          <w:sz w:val="24"/>
          <w:lang w:bidi="en-US"/>
        </w:rPr>
        <w:t>1</w:t>
      </w:r>
      <w:r>
        <w:rPr>
          <w:rFonts w:ascii="Times New Roman" w:hAnsi="宋体" w:eastAsia="宋体" w:cs="Times New Roman"/>
          <w:sz w:val="24"/>
          <w:lang w:bidi="en-US"/>
        </w:rPr>
        <w:t>月</w:t>
      </w:r>
      <w:r>
        <w:rPr>
          <w:rFonts w:ascii="Times New Roman" w:eastAsia="宋体" w:cs="Times New Roman"/>
          <w:sz w:val="24"/>
          <w:lang w:bidi="en-US"/>
        </w:rPr>
        <w:t>1</w:t>
      </w:r>
      <w:r>
        <w:rPr>
          <w:rFonts w:ascii="Times New Roman" w:hAnsi="宋体" w:eastAsia="宋体" w:cs="Times New Roman"/>
          <w:sz w:val="24"/>
          <w:lang w:bidi="en-US"/>
        </w:rPr>
        <w:t>日</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《中华人民共和国大气污染防治法》</w:t>
      </w:r>
      <w:r>
        <w:rPr>
          <w:rFonts w:ascii="Times New Roman" w:eastAsia="宋体" w:cs="Times New Roman"/>
          <w:sz w:val="24"/>
          <w:lang w:bidi="en-US"/>
        </w:rPr>
        <w:t>(2016</w:t>
      </w:r>
      <w:r>
        <w:rPr>
          <w:rFonts w:ascii="Times New Roman" w:hAnsi="宋体" w:eastAsia="宋体" w:cs="Times New Roman"/>
          <w:sz w:val="24"/>
          <w:lang w:bidi="en-US"/>
        </w:rPr>
        <w:t>年</w:t>
      </w:r>
      <w:r>
        <w:rPr>
          <w:rFonts w:ascii="Times New Roman" w:eastAsia="宋体" w:cs="Times New Roman"/>
          <w:sz w:val="24"/>
          <w:lang w:bidi="en-US"/>
        </w:rPr>
        <w:t>1</w:t>
      </w:r>
      <w:r>
        <w:rPr>
          <w:rFonts w:ascii="Times New Roman" w:hAnsi="宋体" w:eastAsia="宋体" w:cs="Times New Roman"/>
          <w:sz w:val="24"/>
          <w:lang w:bidi="en-US"/>
        </w:rPr>
        <w:t>月</w:t>
      </w:r>
      <w:r>
        <w:rPr>
          <w:rFonts w:ascii="Times New Roman" w:eastAsia="宋体" w:cs="Times New Roman"/>
          <w:sz w:val="24"/>
          <w:lang w:bidi="en-US"/>
        </w:rPr>
        <w:t>1</w:t>
      </w:r>
      <w:r>
        <w:rPr>
          <w:rFonts w:ascii="Times New Roman" w:hAnsi="宋体" w:eastAsia="宋体" w:cs="Times New Roman"/>
          <w:sz w:val="24"/>
          <w:lang w:bidi="en-US"/>
        </w:rPr>
        <w:t>日</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《中华人民共和国环境噪声污染防治法》</w:t>
      </w:r>
      <w:r>
        <w:rPr>
          <w:rFonts w:ascii="Times New Roman" w:eastAsia="宋体" w:cs="Times New Roman"/>
          <w:sz w:val="24"/>
          <w:lang w:bidi="en-US"/>
        </w:rPr>
        <w:t>(2018</w:t>
      </w:r>
      <w:r>
        <w:rPr>
          <w:rFonts w:ascii="Times New Roman" w:hAnsi="宋体" w:eastAsia="宋体" w:cs="Times New Roman"/>
          <w:sz w:val="24"/>
          <w:lang w:bidi="en-US"/>
        </w:rPr>
        <w:t>年</w:t>
      </w:r>
      <w:r>
        <w:rPr>
          <w:rFonts w:ascii="Times New Roman" w:eastAsia="宋体" w:cs="Times New Roman"/>
          <w:sz w:val="24"/>
          <w:lang w:bidi="en-US"/>
        </w:rPr>
        <w:t>12</w:t>
      </w:r>
      <w:r>
        <w:rPr>
          <w:rFonts w:ascii="Times New Roman" w:hAnsi="宋体" w:eastAsia="宋体" w:cs="Times New Roman"/>
          <w:sz w:val="24"/>
          <w:lang w:bidi="en-US"/>
        </w:rPr>
        <w:t>月</w:t>
      </w:r>
      <w:r>
        <w:rPr>
          <w:rFonts w:ascii="Times New Roman" w:eastAsia="宋体" w:cs="Times New Roman"/>
          <w:sz w:val="24"/>
          <w:lang w:bidi="en-US"/>
        </w:rPr>
        <w:t>29</w:t>
      </w:r>
      <w:r>
        <w:rPr>
          <w:rFonts w:ascii="Times New Roman" w:hAnsi="宋体" w:eastAsia="宋体" w:cs="Times New Roman"/>
          <w:sz w:val="24"/>
          <w:lang w:bidi="en-US"/>
        </w:rPr>
        <w:t>日修订</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《中华人民共和国固体废物污染环境防治法》</w:t>
      </w:r>
      <w:r>
        <w:rPr>
          <w:rFonts w:ascii="Times New Roman" w:eastAsia="宋体" w:cs="Times New Roman"/>
          <w:sz w:val="24"/>
          <w:lang w:bidi="en-US"/>
        </w:rPr>
        <w:t>(2016</w:t>
      </w:r>
      <w:r>
        <w:rPr>
          <w:rFonts w:ascii="Times New Roman" w:hAnsi="宋体" w:eastAsia="宋体" w:cs="Times New Roman"/>
          <w:sz w:val="24"/>
          <w:lang w:bidi="en-US"/>
        </w:rPr>
        <w:t>年</w:t>
      </w:r>
      <w:r>
        <w:rPr>
          <w:rFonts w:ascii="Times New Roman" w:eastAsia="宋体" w:cs="Times New Roman"/>
          <w:sz w:val="24"/>
          <w:lang w:bidi="en-US"/>
        </w:rPr>
        <w:t>11</w:t>
      </w:r>
      <w:r>
        <w:rPr>
          <w:rFonts w:ascii="Times New Roman" w:hAnsi="宋体" w:eastAsia="宋体" w:cs="Times New Roman"/>
          <w:sz w:val="24"/>
          <w:lang w:bidi="en-US"/>
        </w:rPr>
        <w:t>月</w:t>
      </w:r>
      <w:r>
        <w:rPr>
          <w:rFonts w:ascii="Times New Roman" w:eastAsia="宋体" w:cs="Times New Roman"/>
          <w:sz w:val="24"/>
          <w:lang w:bidi="en-US"/>
        </w:rPr>
        <w:t>7</w:t>
      </w:r>
      <w:r>
        <w:rPr>
          <w:rFonts w:ascii="Times New Roman" w:hAnsi="宋体" w:eastAsia="宋体" w:cs="Times New Roman"/>
          <w:sz w:val="24"/>
          <w:lang w:bidi="en-US"/>
        </w:rPr>
        <w:t>日</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《中华人民共和国水土保持法》</w:t>
      </w:r>
      <w:r>
        <w:rPr>
          <w:rFonts w:ascii="Times New Roman" w:eastAsia="宋体" w:cs="Times New Roman"/>
          <w:sz w:val="24"/>
          <w:lang w:bidi="en-US"/>
        </w:rPr>
        <w:t>(2011</w:t>
      </w:r>
      <w:r>
        <w:rPr>
          <w:rFonts w:ascii="Times New Roman" w:hAnsi="宋体" w:eastAsia="宋体" w:cs="Times New Roman"/>
          <w:sz w:val="24"/>
          <w:lang w:bidi="en-US"/>
        </w:rPr>
        <w:t>年</w:t>
      </w:r>
      <w:r>
        <w:rPr>
          <w:rFonts w:ascii="Times New Roman" w:eastAsia="宋体" w:cs="Times New Roman"/>
          <w:sz w:val="24"/>
          <w:lang w:bidi="en-US"/>
        </w:rPr>
        <w:t>3</w:t>
      </w:r>
      <w:r>
        <w:rPr>
          <w:rFonts w:ascii="Times New Roman" w:hAnsi="宋体" w:eastAsia="宋体" w:cs="Times New Roman"/>
          <w:sz w:val="24"/>
          <w:lang w:bidi="en-US"/>
        </w:rPr>
        <w:t>月</w:t>
      </w:r>
      <w:r>
        <w:rPr>
          <w:rFonts w:ascii="Times New Roman" w:eastAsia="宋体" w:cs="Times New Roman"/>
          <w:sz w:val="24"/>
          <w:lang w:bidi="en-US"/>
        </w:rPr>
        <w:t>1</w:t>
      </w:r>
      <w:r>
        <w:rPr>
          <w:rFonts w:ascii="Times New Roman" w:hAnsi="宋体" w:eastAsia="宋体" w:cs="Times New Roman"/>
          <w:sz w:val="24"/>
          <w:lang w:bidi="en-US"/>
        </w:rPr>
        <w:t>日</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《中华人民共和国文物保护法》</w:t>
      </w:r>
      <w:r>
        <w:rPr>
          <w:rFonts w:ascii="Times New Roman" w:eastAsia="宋体" w:cs="Times New Roman"/>
          <w:sz w:val="24"/>
          <w:lang w:bidi="en-US"/>
        </w:rPr>
        <w:t>(2017</w:t>
      </w:r>
      <w:r>
        <w:rPr>
          <w:rFonts w:ascii="Times New Roman" w:hAnsi="宋体" w:eastAsia="宋体" w:cs="Times New Roman"/>
          <w:sz w:val="24"/>
          <w:lang w:bidi="en-US"/>
        </w:rPr>
        <w:t>年</w:t>
      </w:r>
      <w:r>
        <w:rPr>
          <w:rFonts w:ascii="Times New Roman" w:eastAsia="宋体" w:cs="Times New Roman"/>
          <w:sz w:val="24"/>
          <w:lang w:bidi="en-US"/>
        </w:rPr>
        <w:t>11</w:t>
      </w:r>
      <w:r>
        <w:rPr>
          <w:rFonts w:ascii="Times New Roman" w:hAnsi="宋体" w:eastAsia="宋体" w:cs="Times New Roman"/>
          <w:sz w:val="24"/>
          <w:lang w:bidi="en-US"/>
        </w:rPr>
        <w:t>月</w:t>
      </w:r>
      <w:r>
        <w:rPr>
          <w:rFonts w:ascii="Times New Roman" w:eastAsia="宋体" w:cs="Times New Roman"/>
          <w:sz w:val="24"/>
          <w:lang w:bidi="en-US"/>
        </w:rPr>
        <w:t>5</w:t>
      </w:r>
      <w:r>
        <w:rPr>
          <w:rFonts w:ascii="Times New Roman" w:hAnsi="宋体" w:eastAsia="宋体" w:cs="Times New Roman"/>
          <w:sz w:val="24"/>
          <w:lang w:bidi="en-US"/>
        </w:rPr>
        <w:t>日</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《中华人民共和国森林法》</w:t>
      </w:r>
      <w:r>
        <w:rPr>
          <w:rFonts w:ascii="Times New Roman" w:eastAsia="宋体" w:cs="Times New Roman"/>
          <w:sz w:val="24"/>
          <w:lang w:bidi="en-US"/>
        </w:rPr>
        <w:t>(1998</w:t>
      </w:r>
      <w:r>
        <w:rPr>
          <w:rFonts w:ascii="Times New Roman" w:hAnsi="宋体" w:eastAsia="宋体" w:cs="Times New Roman"/>
          <w:sz w:val="24"/>
          <w:lang w:bidi="en-US"/>
        </w:rPr>
        <w:t>年</w:t>
      </w:r>
      <w:r>
        <w:rPr>
          <w:rFonts w:ascii="Times New Roman" w:eastAsia="宋体" w:cs="Times New Roman"/>
          <w:sz w:val="24"/>
          <w:lang w:bidi="en-US"/>
        </w:rPr>
        <w:t>4</w:t>
      </w:r>
      <w:r>
        <w:rPr>
          <w:rFonts w:ascii="Times New Roman" w:hAnsi="宋体" w:eastAsia="宋体" w:cs="Times New Roman"/>
          <w:sz w:val="24"/>
          <w:lang w:bidi="en-US"/>
        </w:rPr>
        <w:t>月</w:t>
      </w:r>
      <w:r>
        <w:rPr>
          <w:rFonts w:ascii="Times New Roman" w:eastAsia="宋体" w:cs="Times New Roman"/>
          <w:sz w:val="24"/>
          <w:lang w:bidi="en-US"/>
        </w:rPr>
        <w:t>29</w:t>
      </w:r>
      <w:r>
        <w:rPr>
          <w:rFonts w:ascii="Times New Roman" w:hAnsi="宋体" w:eastAsia="宋体" w:cs="Times New Roman"/>
          <w:sz w:val="24"/>
          <w:lang w:bidi="en-US"/>
        </w:rPr>
        <w:t>日</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《中华人民共和国自然保护区条例》</w:t>
      </w:r>
      <w:r>
        <w:rPr>
          <w:rFonts w:ascii="Times New Roman" w:eastAsia="宋体" w:cs="Times New Roman"/>
          <w:sz w:val="24"/>
          <w:lang w:bidi="en-US"/>
        </w:rPr>
        <w:t>(2017</w:t>
      </w:r>
      <w:r>
        <w:rPr>
          <w:rFonts w:ascii="Times New Roman" w:hAnsi="宋体" w:eastAsia="宋体" w:cs="Times New Roman"/>
          <w:sz w:val="24"/>
          <w:lang w:bidi="en-US"/>
        </w:rPr>
        <w:t>年</w:t>
      </w:r>
      <w:r>
        <w:rPr>
          <w:rFonts w:ascii="Times New Roman" w:eastAsia="宋体" w:cs="Times New Roman"/>
          <w:sz w:val="24"/>
          <w:lang w:bidi="en-US"/>
        </w:rPr>
        <w:t>10</w:t>
      </w:r>
      <w:r>
        <w:rPr>
          <w:rFonts w:ascii="Times New Roman" w:hAnsi="宋体" w:eastAsia="宋体" w:cs="Times New Roman"/>
          <w:sz w:val="24"/>
          <w:lang w:bidi="en-US"/>
        </w:rPr>
        <w:t>月</w:t>
      </w:r>
      <w:r>
        <w:rPr>
          <w:rFonts w:ascii="Times New Roman" w:eastAsia="宋体" w:cs="Times New Roman"/>
          <w:sz w:val="24"/>
          <w:lang w:bidi="en-US"/>
        </w:rPr>
        <w:t>23</w:t>
      </w:r>
      <w:r>
        <w:rPr>
          <w:rFonts w:ascii="Times New Roman" w:hAnsi="宋体" w:eastAsia="宋体" w:cs="Times New Roman"/>
          <w:sz w:val="24"/>
          <w:lang w:bidi="en-US"/>
        </w:rPr>
        <w:t>日</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《中华人民共和国野生动物保护法》</w:t>
      </w:r>
      <w:r>
        <w:rPr>
          <w:rFonts w:ascii="Times New Roman" w:eastAsia="宋体" w:cs="Times New Roman"/>
          <w:sz w:val="24"/>
          <w:lang w:bidi="en-US"/>
        </w:rPr>
        <w:t>(2017</w:t>
      </w:r>
      <w:r>
        <w:rPr>
          <w:rFonts w:ascii="Times New Roman" w:hAnsi="宋体" w:eastAsia="宋体" w:cs="Times New Roman"/>
          <w:sz w:val="24"/>
          <w:lang w:bidi="en-US"/>
        </w:rPr>
        <w:t>年</w:t>
      </w:r>
      <w:r>
        <w:rPr>
          <w:rFonts w:ascii="Times New Roman" w:eastAsia="宋体" w:cs="Times New Roman"/>
          <w:sz w:val="24"/>
          <w:lang w:bidi="en-US"/>
        </w:rPr>
        <w:t>1</w:t>
      </w:r>
      <w:r>
        <w:rPr>
          <w:rFonts w:ascii="Times New Roman" w:hAnsi="宋体" w:eastAsia="宋体" w:cs="Times New Roman"/>
          <w:sz w:val="24"/>
          <w:lang w:bidi="en-US"/>
        </w:rPr>
        <w:t>月</w:t>
      </w:r>
      <w:r>
        <w:rPr>
          <w:rFonts w:ascii="Times New Roman" w:eastAsia="宋体" w:cs="Times New Roman"/>
          <w:sz w:val="24"/>
          <w:lang w:bidi="en-US"/>
        </w:rPr>
        <w:t>1</w:t>
      </w:r>
      <w:r>
        <w:rPr>
          <w:rFonts w:ascii="Times New Roman" w:hAnsi="宋体" w:eastAsia="宋体" w:cs="Times New Roman"/>
          <w:sz w:val="24"/>
          <w:lang w:bidi="en-US"/>
        </w:rPr>
        <w:t>日</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《中华人民共和国渔业法》</w:t>
      </w:r>
      <w:r>
        <w:rPr>
          <w:rFonts w:ascii="Times New Roman" w:eastAsia="宋体" w:cs="Times New Roman"/>
          <w:sz w:val="24"/>
          <w:lang w:bidi="en-US"/>
        </w:rPr>
        <w:t>(2013</w:t>
      </w:r>
      <w:r>
        <w:rPr>
          <w:rFonts w:ascii="Times New Roman" w:hAnsi="宋体" w:eastAsia="宋体" w:cs="Times New Roman"/>
          <w:sz w:val="24"/>
          <w:lang w:bidi="en-US"/>
        </w:rPr>
        <w:t>年</w:t>
      </w:r>
      <w:r>
        <w:rPr>
          <w:rFonts w:ascii="Times New Roman" w:eastAsia="宋体" w:cs="Times New Roman"/>
          <w:sz w:val="24"/>
          <w:lang w:bidi="en-US"/>
        </w:rPr>
        <w:t>12</w:t>
      </w:r>
      <w:r>
        <w:rPr>
          <w:rFonts w:ascii="Times New Roman" w:hAnsi="宋体" w:eastAsia="宋体" w:cs="Times New Roman"/>
          <w:sz w:val="24"/>
          <w:lang w:bidi="en-US"/>
        </w:rPr>
        <w:t>月</w:t>
      </w:r>
      <w:r>
        <w:rPr>
          <w:rFonts w:ascii="Times New Roman" w:eastAsia="宋体" w:cs="Times New Roman"/>
          <w:sz w:val="24"/>
          <w:lang w:bidi="en-US"/>
        </w:rPr>
        <w:t>28</w:t>
      </w:r>
      <w:r>
        <w:rPr>
          <w:rFonts w:ascii="Times New Roman" w:hAnsi="宋体" w:eastAsia="宋体" w:cs="Times New Roman"/>
          <w:sz w:val="24"/>
          <w:lang w:bidi="en-US"/>
        </w:rPr>
        <w:t>日</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《中华人民共和国防洪法》</w:t>
      </w:r>
      <w:r>
        <w:rPr>
          <w:rFonts w:ascii="Times New Roman" w:eastAsia="宋体" w:cs="Times New Roman"/>
          <w:sz w:val="24"/>
          <w:lang w:bidi="en-US"/>
        </w:rPr>
        <w:t>(2016</w:t>
      </w:r>
      <w:r>
        <w:rPr>
          <w:rFonts w:ascii="Times New Roman" w:hAnsi="宋体" w:eastAsia="宋体" w:cs="Times New Roman"/>
          <w:sz w:val="24"/>
          <w:lang w:bidi="en-US"/>
        </w:rPr>
        <w:t>年</w:t>
      </w:r>
      <w:r>
        <w:rPr>
          <w:rFonts w:ascii="Times New Roman" w:eastAsia="宋体" w:cs="Times New Roman"/>
          <w:sz w:val="24"/>
          <w:lang w:bidi="en-US"/>
        </w:rPr>
        <w:t>7</w:t>
      </w:r>
      <w:r>
        <w:rPr>
          <w:rFonts w:ascii="Times New Roman" w:hAnsi="宋体" w:eastAsia="宋体" w:cs="Times New Roman"/>
          <w:sz w:val="24"/>
          <w:lang w:bidi="en-US"/>
        </w:rPr>
        <w:t>月</w:t>
      </w:r>
      <w:r>
        <w:rPr>
          <w:rFonts w:ascii="Times New Roman" w:eastAsia="宋体" w:cs="Times New Roman"/>
          <w:sz w:val="24"/>
          <w:lang w:bidi="en-US"/>
        </w:rPr>
        <w:t>2</w:t>
      </w:r>
      <w:r>
        <w:rPr>
          <w:rFonts w:ascii="Times New Roman" w:hAnsi="宋体" w:eastAsia="宋体" w:cs="Times New Roman"/>
          <w:sz w:val="24"/>
          <w:lang w:bidi="en-US"/>
        </w:rPr>
        <w:t>日</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《中华人民共和国传染病防治法》</w:t>
      </w:r>
      <w:r>
        <w:rPr>
          <w:rFonts w:ascii="Times New Roman" w:eastAsia="宋体" w:cs="Times New Roman"/>
          <w:sz w:val="24"/>
          <w:lang w:bidi="en-US"/>
        </w:rPr>
        <w:t>(2013</w:t>
      </w:r>
      <w:r>
        <w:rPr>
          <w:rFonts w:ascii="Times New Roman" w:hAnsi="宋体" w:eastAsia="宋体" w:cs="Times New Roman"/>
          <w:sz w:val="24"/>
          <w:lang w:bidi="en-US"/>
        </w:rPr>
        <w:t>年</w:t>
      </w:r>
      <w:r>
        <w:rPr>
          <w:rFonts w:ascii="Times New Roman" w:eastAsia="宋体" w:cs="Times New Roman"/>
          <w:sz w:val="24"/>
          <w:lang w:bidi="en-US"/>
        </w:rPr>
        <w:t>6</w:t>
      </w:r>
      <w:r>
        <w:rPr>
          <w:rFonts w:ascii="Times New Roman" w:hAnsi="宋体" w:eastAsia="宋体" w:cs="Times New Roman"/>
          <w:sz w:val="24"/>
          <w:lang w:bidi="en-US"/>
        </w:rPr>
        <w:t>月</w:t>
      </w:r>
      <w:r>
        <w:rPr>
          <w:rFonts w:ascii="Times New Roman" w:eastAsia="宋体" w:cs="Times New Roman"/>
          <w:sz w:val="24"/>
          <w:lang w:bidi="en-US"/>
        </w:rPr>
        <w:t>29</w:t>
      </w:r>
      <w:r>
        <w:rPr>
          <w:rFonts w:ascii="Times New Roman" w:hAnsi="宋体" w:eastAsia="宋体" w:cs="Times New Roman"/>
          <w:sz w:val="24"/>
          <w:lang w:bidi="en-US"/>
        </w:rPr>
        <w:t>日</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《中华人民共和国城乡规划法》</w:t>
      </w:r>
      <w:r>
        <w:rPr>
          <w:rFonts w:ascii="Times New Roman" w:eastAsia="宋体" w:cs="Times New Roman"/>
          <w:sz w:val="24"/>
          <w:lang w:bidi="en-US"/>
        </w:rPr>
        <w:t>(2015</w:t>
      </w:r>
      <w:r>
        <w:rPr>
          <w:rFonts w:ascii="Times New Roman" w:hAnsi="宋体" w:eastAsia="宋体" w:cs="Times New Roman"/>
          <w:sz w:val="24"/>
          <w:lang w:bidi="en-US"/>
        </w:rPr>
        <w:t>年</w:t>
      </w:r>
      <w:r>
        <w:rPr>
          <w:rFonts w:ascii="Times New Roman" w:eastAsia="宋体" w:cs="Times New Roman"/>
          <w:sz w:val="24"/>
          <w:lang w:bidi="en-US"/>
        </w:rPr>
        <w:t>4</w:t>
      </w:r>
      <w:r>
        <w:rPr>
          <w:rFonts w:ascii="Times New Roman" w:hAnsi="宋体" w:eastAsia="宋体" w:cs="Times New Roman"/>
          <w:sz w:val="24"/>
          <w:lang w:bidi="en-US"/>
        </w:rPr>
        <w:t>月</w:t>
      </w:r>
      <w:r>
        <w:rPr>
          <w:rFonts w:ascii="Times New Roman" w:eastAsia="宋体" w:cs="Times New Roman"/>
          <w:sz w:val="24"/>
          <w:lang w:bidi="en-US"/>
        </w:rPr>
        <w:t>24</w:t>
      </w:r>
      <w:r>
        <w:rPr>
          <w:rFonts w:ascii="Times New Roman" w:hAnsi="宋体" w:eastAsia="宋体" w:cs="Times New Roman"/>
          <w:sz w:val="24"/>
          <w:lang w:bidi="en-US"/>
        </w:rPr>
        <w:t>日</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《建设项目环境保护管理条例》</w:t>
      </w:r>
      <w:r>
        <w:rPr>
          <w:rFonts w:ascii="Times New Roman" w:eastAsia="宋体" w:cs="Times New Roman"/>
          <w:sz w:val="24"/>
          <w:lang w:bidi="en-US"/>
        </w:rPr>
        <w:t>(</w:t>
      </w:r>
      <w:r>
        <w:rPr>
          <w:rFonts w:ascii="Times New Roman" w:hAnsi="宋体" w:eastAsia="宋体" w:cs="Times New Roman"/>
          <w:sz w:val="24"/>
          <w:lang w:bidi="en-US"/>
        </w:rPr>
        <w:t>国务院令第</w:t>
      </w:r>
      <w:r>
        <w:rPr>
          <w:rFonts w:ascii="Times New Roman" w:eastAsia="宋体" w:cs="Times New Roman"/>
          <w:sz w:val="24"/>
          <w:lang w:bidi="en-US"/>
        </w:rPr>
        <w:t>682</w:t>
      </w:r>
      <w:r>
        <w:rPr>
          <w:rFonts w:ascii="Times New Roman" w:hAnsi="宋体" w:eastAsia="宋体" w:cs="Times New Roman"/>
          <w:sz w:val="24"/>
          <w:lang w:bidi="en-US"/>
        </w:rPr>
        <w:t>号，</w:t>
      </w:r>
      <w:r>
        <w:rPr>
          <w:rFonts w:ascii="Times New Roman" w:eastAsia="宋体" w:cs="Times New Roman"/>
          <w:sz w:val="24"/>
          <w:lang w:bidi="en-US"/>
        </w:rPr>
        <w:t>2017</w:t>
      </w:r>
      <w:r>
        <w:rPr>
          <w:rFonts w:ascii="Times New Roman" w:hAnsi="宋体" w:eastAsia="宋体" w:cs="Times New Roman"/>
          <w:sz w:val="24"/>
          <w:lang w:bidi="en-US"/>
        </w:rPr>
        <w:t>年</w:t>
      </w:r>
      <w:r>
        <w:rPr>
          <w:rFonts w:ascii="Times New Roman" w:eastAsia="宋体" w:cs="Times New Roman"/>
          <w:sz w:val="24"/>
          <w:lang w:bidi="en-US"/>
        </w:rPr>
        <w:t>10</w:t>
      </w:r>
      <w:r>
        <w:rPr>
          <w:rFonts w:ascii="Times New Roman" w:hAnsi="宋体" w:eastAsia="宋体" w:cs="Times New Roman"/>
          <w:sz w:val="24"/>
          <w:lang w:bidi="en-US"/>
        </w:rPr>
        <w:t>月</w:t>
      </w:r>
      <w:r>
        <w:rPr>
          <w:rFonts w:ascii="Times New Roman" w:eastAsia="宋体" w:cs="Times New Roman"/>
          <w:sz w:val="24"/>
          <w:lang w:bidi="en-US"/>
        </w:rPr>
        <w:t>1</w:t>
      </w:r>
      <w:r>
        <w:rPr>
          <w:rFonts w:ascii="Times New Roman" w:hAnsi="宋体" w:eastAsia="宋体" w:cs="Times New Roman"/>
          <w:sz w:val="24"/>
          <w:lang w:bidi="en-US"/>
        </w:rPr>
        <w:t>日</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《中华人民共和国文物保护法实施条例》</w:t>
      </w:r>
      <w:r>
        <w:rPr>
          <w:rFonts w:ascii="Times New Roman" w:eastAsia="宋体" w:cs="Times New Roman"/>
          <w:sz w:val="24"/>
          <w:lang w:bidi="en-US"/>
        </w:rPr>
        <w:t>(</w:t>
      </w:r>
      <w:r>
        <w:rPr>
          <w:rFonts w:ascii="Times New Roman" w:hAnsi="宋体" w:eastAsia="宋体" w:cs="Times New Roman"/>
          <w:sz w:val="24"/>
          <w:lang w:bidi="en-US"/>
        </w:rPr>
        <w:t>国务院第</w:t>
      </w:r>
      <w:r>
        <w:rPr>
          <w:rFonts w:ascii="Times New Roman" w:eastAsia="宋体" w:cs="Times New Roman"/>
          <w:sz w:val="24"/>
          <w:lang w:bidi="en-US"/>
        </w:rPr>
        <w:t>666</w:t>
      </w:r>
      <w:r>
        <w:rPr>
          <w:rFonts w:ascii="Times New Roman" w:hAnsi="宋体" w:eastAsia="宋体" w:cs="Times New Roman"/>
          <w:sz w:val="24"/>
          <w:lang w:bidi="en-US"/>
        </w:rPr>
        <w:t>号令，</w:t>
      </w:r>
      <w:r>
        <w:rPr>
          <w:rFonts w:ascii="Times New Roman" w:eastAsia="宋体" w:cs="Times New Roman"/>
          <w:sz w:val="24"/>
          <w:lang w:bidi="en-US"/>
        </w:rPr>
        <w:t>2016</w:t>
      </w:r>
      <w:r>
        <w:rPr>
          <w:rFonts w:ascii="Times New Roman" w:hAnsi="宋体" w:eastAsia="宋体" w:cs="Times New Roman"/>
          <w:sz w:val="24"/>
          <w:lang w:bidi="en-US"/>
        </w:rPr>
        <w:t>年</w:t>
      </w:r>
      <w:r>
        <w:rPr>
          <w:rFonts w:ascii="Times New Roman" w:eastAsia="宋体" w:cs="Times New Roman"/>
          <w:sz w:val="24"/>
          <w:lang w:bidi="en-US"/>
        </w:rPr>
        <w:t>1</w:t>
      </w:r>
      <w:r>
        <w:rPr>
          <w:rFonts w:ascii="Times New Roman" w:hAnsi="宋体" w:eastAsia="宋体" w:cs="Times New Roman"/>
          <w:sz w:val="24"/>
          <w:lang w:bidi="en-US"/>
        </w:rPr>
        <w:t>月</w:t>
      </w:r>
      <w:r>
        <w:rPr>
          <w:rFonts w:ascii="Times New Roman" w:eastAsia="宋体" w:cs="Times New Roman"/>
          <w:sz w:val="24"/>
          <w:lang w:bidi="en-US"/>
        </w:rPr>
        <w:t>13</w:t>
      </w:r>
      <w:r>
        <w:rPr>
          <w:rFonts w:ascii="Times New Roman" w:hAnsi="宋体" w:eastAsia="宋体" w:cs="Times New Roman"/>
          <w:sz w:val="24"/>
          <w:lang w:bidi="en-US"/>
        </w:rPr>
        <w:t>日</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《中华人民共和国野生植物保护条例》</w:t>
      </w:r>
      <w:r>
        <w:rPr>
          <w:rFonts w:ascii="Times New Roman" w:eastAsia="宋体" w:cs="Times New Roman"/>
          <w:sz w:val="24"/>
          <w:lang w:bidi="en-US"/>
        </w:rPr>
        <w:t>(</w:t>
      </w:r>
      <w:r>
        <w:rPr>
          <w:rFonts w:ascii="Times New Roman" w:hAnsi="宋体" w:eastAsia="宋体" w:cs="Times New Roman"/>
          <w:sz w:val="24"/>
          <w:lang w:bidi="en-US"/>
        </w:rPr>
        <w:t>国务院第</w:t>
      </w:r>
      <w:r>
        <w:rPr>
          <w:rFonts w:ascii="Times New Roman" w:eastAsia="宋体" w:cs="Times New Roman"/>
          <w:sz w:val="24"/>
          <w:lang w:bidi="en-US"/>
        </w:rPr>
        <w:t>687</w:t>
      </w:r>
      <w:r>
        <w:rPr>
          <w:rFonts w:ascii="Times New Roman" w:hAnsi="宋体" w:eastAsia="宋体" w:cs="Times New Roman"/>
          <w:sz w:val="24"/>
          <w:lang w:bidi="en-US"/>
        </w:rPr>
        <w:t>号令，</w:t>
      </w:r>
      <w:r>
        <w:rPr>
          <w:rFonts w:ascii="Times New Roman" w:eastAsia="宋体" w:cs="Times New Roman"/>
          <w:sz w:val="24"/>
          <w:lang w:bidi="en-US"/>
        </w:rPr>
        <w:t>2017</w:t>
      </w:r>
      <w:r>
        <w:rPr>
          <w:rFonts w:ascii="Times New Roman" w:hAnsi="宋体" w:eastAsia="宋体" w:cs="Times New Roman"/>
          <w:sz w:val="24"/>
          <w:lang w:bidi="en-US"/>
        </w:rPr>
        <w:t>年</w:t>
      </w:r>
      <w:r>
        <w:rPr>
          <w:rFonts w:ascii="Times New Roman" w:eastAsia="宋体" w:cs="Times New Roman"/>
          <w:sz w:val="24"/>
          <w:lang w:bidi="en-US"/>
        </w:rPr>
        <w:t>10</w:t>
      </w:r>
      <w:r>
        <w:rPr>
          <w:rFonts w:ascii="Times New Roman" w:hAnsi="宋体" w:eastAsia="宋体" w:cs="Times New Roman"/>
          <w:sz w:val="24"/>
          <w:lang w:bidi="en-US"/>
        </w:rPr>
        <w:t>月</w:t>
      </w:r>
      <w:r>
        <w:rPr>
          <w:rFonts w:ascii="Times New Roman" w:eastAsia="宋体" w:cs="Times New Roman"/>
          <w:sz w:val="24"/>
          <w:lang w:bidi="en-US"/>
        </w:rPr>
        <w:t>7</w:t>
      </w:r>
      <w:r>
        <w:rPr>
          <w:rFonts w:ascii="Times New Roman" w:hAnsi="宋体" w:eastAsia="宋体" w:cs="Times New Roman"/>
          <w:sz w:val="24"/>
          <w:lang w:bidi="en-US"/>
        </w:rPr>
        <w:t>日</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《全国主体功能区规划》</w:t>
      </w:r>
      <w:r>
        <w:rPr>
          <w:rFonts w:ascii="Times New Roman" w:eastAsia="宋体" w:cs="Times New Roman"/>
          <w:sz w:val="24"/>
          <w:lang w:bidi="en-US"/>
        </w:rPr>
        <w:t>(</w:t>
      </w:r>
      <w:r>
        <w:rPr>
          <w:rFonts w:ascii="Times New Roman" w:hAnsi="宋体" w:eastAsia="宋体" w:cs="Times New Roman"/>
          <w:sz w:val="24"/>
          <w:lang w:bidi="en-US"/>
        </w:rPr>
        <w:t>国发〔</w:t>
      </w:r>
      <w:r>
        <w:rPr>
          <w:rFonts w:ascii="Times New Roman" w:eastAsia="宋体" w:cs="Times New Roman"/>
          <w:sz w:val="24"/>
          <w:lang w:bidi="en-US"/>
        </w:rPr>
        <w:t>2010</w:t>
      </w:r>
      <w:r>
        <w:rPr>
          <w:rFonts w:ascii="Times New Roman" w:hAnsi="宋体" w:eastAsia="宋体" w:cs="Times New Roman"/>
          <w:sz w:val="24"/>
          <w:lang w:bidi="en-US"/>
        </w:rPr>
        <w:t>〕</w:t>
      </w:r>
      <w:r>
        <w:rPr>
          <w:rFonts w:ascii="Times New Roman" w:eastAsia="宋体" w:cs="Times New Roman"/>
          <w:sz w:val="24"/>
          <w:lang w:bidi="en-US"/>
        </w:rPr>
        <w:t>46</w:t>
      </w:r>
      <w:r>
        <w:rPr>
          <w:rFonts w:ascii="Times New Roman" w:hAnsi="宋体" w:eastAsia="宋体" w:cs="Times New Roman"/>
          <w:sz w:val="24"/>
          <w:lang w:bidi="en-US"/>
        </w:rPr>
        <w:t>号，</w:t>
      </w:r>
      <w:r>
        <w:rPr>
          <w:rFonts w:ascii="Times New Roman" w:eastAsia="宋体" w:cs="Times New Roman"/>
          <w:sz w:val="24"/>
          <w:lang w:bidi="en-US"/>
        </w:rPr>
        <w:t>2011</w:t>
      </w:r>
      <w:r>
        <w:rPr>
          <w:rFonts w:ascii="Times New Roman" w:hAnsi="宋体" w:eastAsia="宋体" w:cs="Times New Roman"/>
          <w:sz w:val="24"/>
          <w:lang w:bidi="en-US"/>
        </w:rPr>
        <w:t>年</w:t>
      </w:r>
      <w:r>
        <w:rPr>
          <w:rFonts w:ascii="Times New Roman" w:eastAsia="宋体" w:cs="Times New Roman"/>
          <w:sz w:val="24"/>
          <w:lang w:bidi="en-US"/>
        </w:rPr>
        <w:t>6</w:t>
      </w:r>
      <w:r>
        <w:rPr>
          <w:rFonts w:ascii="Times New Roman" w:hAnsi="宋体" w:eastAsia="宋体" w:cs="Times New Roman"/>
          <w:sz w:val="24"/>
          <w:lang w:bidi="en-US"/>
        </w:rPr>
        <w:t>月</w:t>
      </w:r>
      <w:r>
        <w:rPr>
          <w:rFonts w:ascii="Times New Roman" w:eastAsia="宋体" w:cs="Times New Roman"/>
          <w:sz w:val="24"/>
          <w:lang w:bidi="en-US"/>
        </w:rPr>
        <w:t>8</w:t>
      </w:r>
      <w:r>
        <w:rPr>
          <w:rFonts w:ascii="Times New Roman" w:hAnsi="宋体" w:eastAsia="宋体" w:cs="Times New Roman"/>
          <w:sz w:val="24"/>
          <w:lang w:bidi="en-US"/>
        </w:rPr>
        <w:t>日</w:t>
      </w:r>
      <w:r>
        <w:rPr>
          <w:rFonts w:ascii="Times New Roman" w:eastAsia="宋体" w:cs="Times New Roman"/>
          <w:sz w:val="24"/>
          <w:lang w:bidi="en-US"/>
        </w:rPr>
        <w:t>)</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2.2部门规章</w:t>
      </w:r>
      <w:r>
        <w:rPr>
          <w:rFonts w:hint="eastAsia" w:ascii="宋体" w:hAnsi="宋体" w:eastAsia="宋体"/>
        </w:rPr>
        <w:t>及规范性文件</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《关于发布</w:t>
      </w:r>
      <w:r>
        <w:rPr>
          <w:rFonts w:ascii="Times New Roman" w:eastAsia="宋体" w:cs="Times New Roman"/>
          <w:sz w:val="24"/>
          <w:lang w:bidi="en-US"/>
        </w:rPr>
        <w:t>&lt;</w:t>
      </w:r>
      <w:r>
        <w:rPr>
          <w:rFonts w:ascii="Times New Roman" w:hAnsi="宋体" w:eastAsia="宋体" w:cs="Times New Roman"/>
          <w:sz w:val="24"/>
          <w:lang w:bidi="en-US"/>
        </w:rPr>
        <w:t>建设项目竣工环境保护验收暂行办法</w:t>
      </w:r>
      <w:r>
        <w:rPr>
          <w:rFonts w:ascii="Times New Roman" w:eastAsia="宋体" w:cs="Times New Roman"/>
          <w:sz w:val="24"/>
          <w:lang w:bidi="en-US"/>
        </w:rPr>
        <w:t>&gt;</w:t>
      </w:r>
      <w:r>
        <w:rPr>
          <w:rFonts w:ascii="Times New Roman" w:hAnsi="宋体" w:eastAsia="宋体" w:cs="Times New Roman"/>
          <w:sz w:val="24"/>
          <w:lang w:bidi="en-US"/>
        </w:rPr>
        <w:t>的公告》</w:t>
      </w:r>
      <w:r>
        <w:rPr>
          <w:rFonts w:ascii="Times New Roman" w:eastAsia="宋体" w:cs="Times New Roman"/>
          <w:sz w:val="24"/>
          <w:lang w:bidi="en-US"/>
        </w:rPr>
        <w:t>(</w:t>
      </w:r>
      <w:r>
        <w:rPr>
          <w:rFonts w:ascii="Times New Roman" w:hAnsi="宋体" w:eastAsia="宋体" w:cs="Times New Roman"/>
          <w:sz w:val="24"/>
          <w:lang w:bidi="en-US"/>
        </w:rPr>
        <w:t>国环规环评〔</w:t>
      </w:r>
      <w:r>
        <w:rPr>
          <w:rFonts w:ascii="Times New Roman" w:eastAsia="宋体" w:cs="Times New Roman"/>
          <w:sz w:val="24"/>
          <w:lang w:bidi="en-US"/>
        </w:rPr>
        <w:t>2017</w:t>
      </w:r>
      <w:r>
        <w:rPr>
          <w:rFonts w:ascii="Times New Roman" w:hAnsi="宋体" w:eastAsia="宋体" w:cs="Times New Roman"/>
          <w:sz w:val="24"/>
          <w:lang w:bidi="en-US"/>
        </w:rPr>
        <w:t>〕</w:t>
      </w:r>
      <w:r>
        <w:rPr>
          <w:rFonts w:ascii="Times New Roman" w:eastAsia="宋体" w:cs="Times New Roman"/>
          <w:sz w:val="24"/>
          <w:lang w:bidi="en-US"/>
        </w:rPr>
        <w:t>4</w:t>
      </w:r>
      <w:r>
        <w:rPr>
          <w:rFonts w:ascii="Times New Roman" w:hAnsi="宋体" w:eastAsia="宋体" w:cs="Times New Roman"/>
          <w:sz w:val="24"/>
          <w:lang w:bidi="en-US"/>
        </w:rPr>
        <w:t>号</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《关于深化落实水电开发生态环境保护措施的通知》</w:t>
      </w:r>
      <w:r>
        <w:rPr>
          <w:rFonts w:ascii="Times New Roman" w:eastAsia="宋体" w:cs="Times New Roman"/>
          <w:sz w:val="24"/>
          <w:lang w:bidi="en-US"/>
        </w:rPr>
        <w:t>(</w:t>
      </w:r>
      <w:r>
        <w:rPr>
          <w:rFonts w:ascii="Times New Roman" w:hAnsi="宋体" w:eastAsia="宋体" w:cs="Times New Roman"/>
          <w:sz w:val="24"/>
          <w:lang w:bidi="en-US"/>
        </w:rPr>
        <w:t>环发〔</w:t>
      </w:r>
      <w:r>
        <w:rPr>
          <w:rFonts w:ascii="Times New Roman" w:eastAsia="宋体" w:cs="Times New Roman"/>
          <w:sz w:val="24"/>
          <w:lang w:bidi="en-US"/>
        </w:rPr>
        <w:t>2014</w:t>
      </w:r>
      <w:r>
        <w:rPr>
          <w:rFonts w:ascii="Times New Roman" w:hAnsi="宋体" w:eastAsia="宋体" w:cs="Times New Roman"/>
          <w:sz w:val="24"/>
          <w:lang w:bidi="en-US"/>
        </w:rPr>
        <w:t>〕</w:t>
      </w:r>
      <w:r>
        <w:rPr>
          <w:rFonts w:ascii="Times New Roman" w:eastAsia="宋体" w:cs="Times New Roman"/>
          <w:sz w:val="24"/>
          <w:lang w:bidi="en-US"/>
        </w:rPr>
        <w:t>65</w:t>
      </w:r>
      <w:r>
        <w:rPr>
          <w:rFonts w:ascii="Times New Roman" w:hAnsi="宋体" w:eastAsia="宋体" w:cs="Times New Roman"/>
          <w:sz w:val="24"/>
          <w:lang w:bidi="en-US"/>
        </w:rPr>
        <w:t>号</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《关于进一步加强水电建设环境保护工作的通知》</w:t>
      </w:r>
      <w:r>
        <w:rPr>
          <w:rFonts w:ascii="Times New Roman" w:eastAsia="宋体" w:cs="Times New Roman"/>
          <w:sz w:val="24"/>
          <w:lang w:bidi="en-US"/>
        </w:rPr>
        <w:t>(</w:t>
      </w:r>
      <w:r>
        <w:rPr>
          <w:rFonts w:ascii="Times New Roman" w:hAnsi="宋体" w:eastAsia="宋体" w:cs="Times New Roman"/>
          <w:sz w:val="24"/>
          <w:lang w:bidi="en-US"/>
        </w:rPr>
        <w:t>环办〔</w:t>
      </w:r>
      <w:r>
        <w:rPr>
          <w:rFonts w:ascii="Times New Roman" w:eastAsia="宋体" w:cs="Times New Roman"/>
          <w:sz w:val="24"/>
          <w:lang w:bidi="en-US"/>
        </w:rPr>
        <w:t>2012</w:t>
      </w:r>
      <w:r>
        <w:rPr>
          <w:rFonts w:ascii="Times New Roman" w:hAnsi="宋体" w:eastAsia="宋体" w:cs="Times New Roman"/>
          <w:sz w:val="24"/>
          <w:lang w:bidi="en-US"/>
        </w:rPr>
        <w:t>〕</w:t>
      </w:r>
      <w:r>
        <w:rPr>
          <w:rFonts w:ascii="Times New Roman" w:eastAsia="宋体" w:cs="Times New Roman"/>
          <w:sz w:val="24"/>
          <w:lang w:bidi="en-US"/>
        </w:rPr>
        <w:t>4</w:t>
      </w:r>
      <w:r>
        <w:rPr>
          <w:rFonts w:ascii="Times New Roman" w:hAnsi="宋体" w:eastAsia="宋体" w:cs="Times New Roman"/>
          <w:sz w:val="24"/>
          <w:lang w:bidi="en-US"/>
        </w:rPr>
        <w:t>号</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《关于加强水电建设环境保护工作的通知》</w:t>
      </w:r>
      <w:r>
        <w:rPr>
          <w:rFonts w:ascii="Times New Roman" w:eastAsia="宋体" w:cs="Times New Roman"/>
          <w:sz w:val="24"/>
          <w:lang w:bidi="en-US"/>
        </w:rPr>
        <w:t>(</w:t>
      </w:r>
      <w:r>
        <w:rPr>
          <w:rFonts w:ascii="Times New Roman" w:hAnsi="宋体" w:eastAsia="宋体" w:cs="Times New Roman"/>
          <w:sz w:val="24"/>
          <w:lang w:bidi="en-US"/>
        </w:rPr>
        <w:t>环发〔</w:t>
      </w:r>
      <w:r>
        <w:rPr>
          <w:rFonts w:ascii="Times New Roman" w:eastAsia="宋体" w:cs="Times New Roman"/>
          <w:sz w:val="24"/>
          <w:lang w:bidi="en-US"/>
        </w:rPr>
        <w:t>2005</w:t>
      </w:r>
      <w:r>
        <w:rPr>
          <w:rFonts w:ascii="Times New Roman" w:hAnsi="宋体" w:eastAsia="宋体" w:cs="Times New Roman"/>
          <w:sz w:val="24"/>
          <w:lang w:bidi="en-US"/>
        </w:rPr>
        <w:t>〕</w:t>
      </w:r>
      <w:r>
        <w:rPr>
          <w:rFonts w:ascii="Times New Roman" w:eastAsia="宋体" w:cs="Times New Roman"/>
          <w:sz w:val="24"/>
          <w:lang w:bidi="en-US"/>
        </w:rPr>
        <w:t>13</w:t>
      </w:r>
      <w:r>
        <w:rPr>
          <w:rFonts w:ascii="Times New Roman" w:hAnsi="宋体" w:eastAsia="宋体" w:cs="Times New Roman"/>
          <w:sz w:val="24"/>
          <w:lang w:bidi="en-US"/>
        </w:rPr>
        <w:t>号</w:t>
      </w:r>
      <w:r>
        <w:rPr>
          <w:rFonts w:ascii="Times New Roman" w:eastAsia="宋体" w:cs="Times New Roman"/>
          <w:sz w:val="24"/>
          <w:lang w:bidi="en-US"/>
        </w:rPr>
        <w:t xml:space="preserve">) </w:t>
      </w:r>
    </w:p>
    <w:p>
      <w:pPr>
        <w:pStyle w:val="2"/>
        <w:snapToGrid w:val="0"/>
        <w:spacing w:line="360" w:lineRule="auto"/>
        <w:rPr>
          <w:rFonts w:ascii="Times New Roman" w:eastAsia="宋体" w:cs="Times New Roman"/>
          <w:spacing w:val="-11"/>
          <w:sz w:val="24"/>
          <w:lang w:bidi="en-US"/>
        </w:rPr>
      </w:pPr>
      <w:r>
        <w:rPr>
          <w:rFonts w:ascii="Times New Roman" w:hAnsi="宋体" w:eastAsia="宋体" w:cs="Times New Roman"/>
          <w:spacing w:val="-11"/>
          <w:sz w:val="24"/>
          <w:lang w:bidi="en-US"/>
        </w:rPr>
        <w:t>《中华人民共和国陆生野生动物保护实施条例》</w:t>
      </w:r>
      <w:r>
        <w:rPr>
          <w:rFonts w:ascii="Times New Roman" w:eastAsia="宋体" w:cs="Times New Roman"/>
          <w:spacing w:val="-11"/>
          <w:sz w:val="24"/>
          <w:lang w:bidi="en-US"/>
        </w:rPr>
        <w:t>(</w:t>
      </w:r>
      <w:r>
        <w:rPr>
          <w:rFonts w:ascii="Times New Roman" w:hAnsi="宋体" w:eastAsia="宋体" w:cs="Times New Roman"/>
          <w:spacing w:val="-11"/>
          <w:sz w:val="24"/>
          <w:lang w:bidi="en-US"/>
        </w:rPr>
        <w:t>国务院令第</w:t>
      </w:r>
      <w:r>
        <w:rPr>
          <w:rFonts w:ascii="Times New Roman" w:eastAsia="宋体" w:cs="Times New Roman"/>
          <w:spacing w:val="-11"/>
          <w:sz w:val="24"/>
          <w:lang w:bidi="en-US"/>
        </w:rPr>
        <w:t>666</w:t>
      </w:r>
      <w:r>
        <w:rPr>
          <w:rFonts w:ascii="Times New Roman" w:hAnsi="宋体" w:eastAsia="宋体" w:cs="Times New Roman"/>
          <w:spacing w:val="-11"/>
          <w:sz w:val="24"/>
          <w:lang w:bidi="en-US"/>
        </w:rPr>
        <w:t>号，</w:t>
      </w:r>
      <w:r>
        <w:rPr>
          <w:rFonts w:ascii="Times New Roman" w:eastAsia="宋体" w:cs="Times New Roman"/>
          <w:spacing w:val="-11"/>
          <w:sz w:val="24"/>
          <w:lang w:bidi="en-US"/>
        </w:rPr>
        <w:t>2016</w:t>
      </w:r>
      <w:r>
        <w:rPr>
          <w:rFonts w:ascii="Times New Roman" w:hAnsi="宋体" w:eastAsia="宋体" w:cs="Times New Roman"/>
          <w:spacing w:val="-11"/>
          <w:sz w:val="24"/>
          <w:lang w:bidi="en-US"/>
        </w:rPr>
        <w:t>年</w:t>
      </w:r>
      <w:r>
        <w:rPr>
          <w:rFonts w:ascii="Times New Roman" w:eastAsia="宋体" w:cs="Times New Roman"/>
          <w:spacing w:val="-11"/>
          <w:sz w:val="24"/>
          <w:lang w:bidi="en-US"/>
        </w:rPr>
        <w:t>1</w:t>
      </w:r>
      <w:r>
        <w:rPr>
          <w:rFonts w:ascii="Times New Roman" w:hAnsi="宋体" w:eastAsia="宋体" w:cs="Times New Roman"/>
          <w:spacing w:val="-11"/>
          <w:sz w:val="24"/>
          <w:lang w:bidi="en-US"/>
        </w:rPr>
        <w:t>月</w:t>
      </w:r>
      <w:r>
        <w:rPr>
          <w:rFonts w:ascii="Times New Roman" w:eastAsia="宋体" w:cs="Times New Roman"/>
          <w:spacing w:val="-11"/>
          <w:sz w:val="24"/>
          <w:lang w:bidi="en-US"/>
        </w:rPr>
        <w:t>13</w:t>
      </w:r>
      <w:r>
        <w:rPr>
          <w:rFonts w:ascii="Times New Roman" w:hAnsi="宋体" w:eastAsia="宋体" w:cs="Times New Roman"/>
          <w:spacing w:val="-11"/>
          <w:sz w:val="24"/>
          <w:lang w:bidi="en-US"/>
        </w:rPr>
        <w:t>日</w:t>
      </w:r>
      <w:r>
        <w:rPr>
          <w:rFonts w:ascii="Times New Roman" w:eastAsia="宋体" w:cs="Times New Roman"/>
          <w:spacing w:val="-11"/>
          <w:sz w:val="24"/>
          <w:lang w:bidi="en-US"/>
        </w:rPr>
        <w:t xml:space="preserve">) </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《中华人民共和国水生野生动物保护实施条例》</w:t>
      </w:r>
      <w:r>
        <w:rPr>
          <w:rFonts w:ascii="Times New Roman" w:eastAsia="宋体" w:cs="Times New Roman"/>
          <w:sz w:val="24"/>
          <w:lang w:bidi="en-US"/>
        </w:rPr>
        <w:t>(2013</w:t>
      </w:r>
      <w:r>
        <w:rPr>
          <w:rFonts w:ascii="Times New Roman" w:hAnsi="宋体" w:eastAsia="宋体" w:cs="Times New Roman"/>
          <w:sz w:val="24"/>
          <w:lang w:bidi="en-US"/>
        </w:rPr>
        <w:t>年</w:t>
      </w:r>
      <w:r>
        <w:rPr>
          <w:rFonts w:ascii="Times New Roman" w:eastAsia="宋体" w:cs="Times New Roman"/>
          <w:sz w:val="24"/>
          <w:lang w:bidi="en-US"/>
        </w:rPr>
        <w:t>12</w:t>
      </w:r>
      <w:r>
        <w:rPr>
          <w:rFonts w:ascii="Times New Roman" w:hAnsi="宋体" w:eastAsia="宋体" w:cs="Times New Roman"/>
          <w:sz w:val="24"/>
          <w:lang w:bidi="en-US"/>
        </w:rPr>
        <w:t>月</w:t>
      </w:r>
      <w:r>
        <w:rPr>
          <w:rFonts w:ascii="Times New Roman" w:eastAsia="宋体" w:cs="Times New Roman"/>
          <w:sz w:val="24"/>
          <w:lang w:bidi="en-US"/>
        </w:rPr>
        <w:t>7</w:t>
      </w:r>
      <w:r>
        <w:rPr>
          <w:rFonts w:ascii="Times New Roman" w:hAnsi="宋体" w:eastAsia="宋体" w:cs="Times New Roman"/>
          <w:sz w:val="24"/>
          <w:lang w:bidi="en-US"/>
        </w:rPr>
        <w:t>日</w:t>
      </w:r>
      <w:r>
        <w:rPr>
          <w:rFonts w:ascii="Times New Roman" w:eastAsia="宋体" w:cs="Times New Roman"/>
          <w:sz w:val="24"/>
          <w:lang w:bidi="en-US"/>
        </w:rPr>
        <w:t xml:space="preserve">) </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《关于加强环境影响评价管理防范环境风险的通知》</w:t>
      </w:r>
      <w:r>
        <w:rPr>
          <w:rFonts w:ascii="Times New Roman" w:eastAsia="宋体" w:cs="Times New Roman"/>
          <w:sz w:val="24"/>
          <w:lang w:bidi="en-US"/>
        </w:rPr>
        <w:t>(</w:t>
      </w:r>
      <w:r>
        <w:rPr>
          <w:rFonts w:ascii="Times New Roman" w:hAnsi="宋体" w:eastAsia="宋体" w:cs="Times New Roman"/>
          <w:sz w:val="24"/>
          <w:lang w:bidi="en-US"/>
        </w:rPr>
        <w:t>环发〔</w:t>
      </w:r>
      <w:r>
        <w:rPr>
          <w:rFonts w:ascii="Times New Roman" w:eastAsia="宋体" w:cs="Times New Roman"/>
          <w:sz w:val="24"/>
          <w:lang w:bidi="en-US"/>
        </w:rPr>
        <w:t>2012</w:t>
      </w:r>
      <w:r>
        <w:rPr>
          <w:rFonts w:ascii="Times New Roman" w:hAnsi="宋体" w:eastAsia="宋体" w:cs="Times New Roman"/>
          <w:sz w:val="24"/>
          <w:lang w:bidi="en-US"/>
        </w:rPr>
        <w:t>〕</w:t>
      </w:r>
      <w:r>
        <w:rPr>
          <w:rFonts w:ascii="Times New Roman" w:eastAsia="宋体" w:cs="Times New Roman"/>
          <w:sz w:val="24"/>
          <w:lang w:bidi="en-US"/>
        </w:rPr>
        <w:t>77</w:t>
      </w:r>
      <w:r>
        <w:rPr>
          <w:rFonts w:ascii="Times New Roman" w:hAnsi="宋体" w:eastAsia="宋体" w:cs="Times New Roman"/>
          <w:sz w:val="24"/>
          <w:lang w:bidi="en-US"/>
        </w:rPr>
        <w:t>号</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《关于加强资源开发生态环境保护监管工作的意见》</w:t>
      </w:r>
      <w:r>
        <w:rPr>
          <w:rFonts w:ascii="Times New Roman" w:eastAsia="宋体" w:cs="Times New Roman"/>
          <w:sz w:val="24"/>
          <w:lang w:bidi="en-US"/>
        </w:rPr>
        <w:t>(</w:t>
      </w:r>
      <w:r>
        <w:rPr>
          <w:rFonts w:ascii="Times New Roman" w:hAnsi="宋体" w:eastAsia="宋体" w:cs="Times New Roman"/>
          <w:sz w:val="24"/>
          <w:lang w:bidi="en-US"/>
        </w:rPr>
        <w:t>环发〔</w:t>
      </w:r>
      <w:r>
        <w:rPr>
          <w:rFonts w:ascii="Times New Roman" w:eastAsia="宋体" w:cs="Times New Roman"/>
          <w:sz w:val="24"/>
          <w:lang w:bidi="en-US"/>
        </w:rPr>
        <w:t>2004</w:t>
      </w:r>
      <w:r>
        <w:rPr>
          <w:rFonts w:ascii="Times New Roman" w:hAnsi="宋体" w:eastAsia="宋体" w:cs="Times New Roman"/>
          <w:sz w:val="24"/>
          <w:lang w:bidi="en-US"/>
        </w:rPr>
        <w:t>〕</w:t>
      </w:r>
      <w:r>
        <w:rPr>
          <w:rFonts w:ascii="Times New Roman" w:eastAsia="宋体" w:cs="Times New Roman"/>
          <w:sz w:val="24"/>
          <w:lang w:bidi="en-US"/>
        </w:rPr>
        <w:t>24</w:t>
      </w:r>
      <w:r>
        <w:rPr>
          <w:rFonts w:ascii="Times New Roman" w:hAnsi="宋体" w:eastAsia="宋体" w:cs="Times New Roman"/>
          <w:sz w:val="24"/>
          <w:lang w:bidi="en-US"/>
        </w:rPr>
        <w:t>号文</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《国家重点野生动物名录的调整种类公布》</w:t>
      </w:r>
      <w:r>
        <w:rPr>
          <w:rFonts w:ascii="Times New Roman" w:eastAsia="宋体" w:cs="Times New Roman"/>
          <w:sz w:val="24"/>
          <w:lang w:bidi="en-US"/>
        </w:rPr>
        <w:t>(</w:t>
      </w:r>
      <w:r>
        <w:rPr>
          <w:rFonts w:ascii="Times New Roman" w:hAnsi="宋体" w:eastAsia="宋体" w:cs="Times New Roman"/>
          <w:sz w:val="24"/>
          <w:lang w:bidi="en-US"/>
        </w:rPr>
        <w:t>国家林业局令第</w:t>
      </w:r>
      <w:r>
        <w:rPr>
          <w:rFonts w:ascii="Times New Roman" w:eastAsia="宋体" w:cs="Times New Roman"/>
          <w:sz w:val="24"/>
          <w:lang w:bidi="en-US"/>
        </w:rPr>
        <w:t>7</w:t>
      </w:r>
      <w:r>
        <w:rPr>
          <w:rFonts w:ascii="Times New Roman" w:hAnsi="宋体" w:eastAsia="宋体" w:cs="Times New Roman"/>
          <w:sz w:val="24"/>
          <w:lang w:bidi="en-US"/>
        </w:rPr>
        <w:t>号</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《关于印发</w:t>
      </w:r>
      <w:r>
        <w:rPr>
          <w:rFonts w:ascii="Times New Roman" w:eastAsia="宋体" w:cs="Times New Roman"/>
          <w:sz w:val="24"/>
          <w:lang w:bidi="en-US"/>
        </w:rPr>
        <w:t>&lt;</w:t>
      </w:r>
      <w:r>
        <w:rPr>
          <w:rFonts w:ascii="Times New Roman" w:hAnsi="宋体" w:eastAsia="宋体" w:cs="Times New Roman"/>
          <w:sz w:val="24"/>
          <w:lang w:bidi="en-US"/>
        </w:rPr>
        <w:t>水电水利建设项目河道生态用水、低温水和过鱼设施环境影响评价技术指南</w:t>
      </w:r>
      <w:r>
        <w:rPr>
          <w:rFonts w:ascii="Times New Roman" w:eastAsia="宋体" w:cs="Times New Roman"/>
          <w:sz w:val="24"/>
          <w:lang w:bidi="en-US"/>
        </w:rPr>
        <w:t>(</w:t>
      </w:r>
      <w:r>
        <w:rPr>
          <w:rFonts w:ascii="Times New Roman" w:hAnsi="宋体" w:eastAsia="宋体" w:cs="Times New Roman"/>
          <w:sz w:val="24"/>
          <w:lang w:bidi="en-US"/>
        </w:rPr>
        <w:t>试行</w:t>
      </w:r>
      <w:r>
        <w:rPr>
          <w:rFonts w:ascii="Times New Roman" w:eastAsia="宋体" w:cs="Times New Roman"/>
          <w:sz w:val="24"/>
          <w:lang w:bidi="en-US"/>
        </w:rPr>
        <w:t>)&gt;</w:t>
      </w:r>
      <w:r>
        <w:rPr>
          <w:rFonts w:ascii="Times New Roman" w:hAnsi="宋体" w:eastAsia="宋体" w:cs="Times New Roman"/>
          <w:sz w:val="24"/>
          <w:lang w:bidi="en-US"/>
        </w:rPr>
        <w:t>的函》</w:t>
      </w:r>
      <w:r>
        <w:rPr>
          <w:rFonts w:ascii="Times New Roman" w:eastAsia="宋体" w:cs="Times New Roman"/>
          <w:sz w:val="24"/>
          <w:lang w:bidi="en-US"/>
        </w:rPr>
        <w:t>(</w:t>
      </w:r>
      <w:r>
        <w:rPr>
          <w:rFonts w:ascii="Times New Roman" w:hAnsi="宋体" w:eastAsia="宋体" w:cs="Times New Roman"/>
          <w:sz w:val="24"/>
          <w:lang w:bidi="en-US"/>
        </w:rPr>
        <w:t>环评函〔</w:t>
      </w:r>
      <w:r>
        <w:rPr>
          <w:rFonts w:ascii="Times New Roman" w:eastAsia="宋体" w:cs="Times New Roman"/>
          <w:sz w:val="24"/>
          <w:lang w:bidi="en-US"/>
        </w:rPr>
        <w:t>2006</w:t>
      </w:r>
      <w:r>
        <w:rPr>
          <w:rFonts w:ascii="Times New Roman" w:hAnsi="宋体" w:eastAsia="宋体" w:cs="Times New Roman"/>
          <w:sz w:val="24"/>
          <w:lang w:bidi="en-US"/>
        </w:rPr>
        <w:t>〕</w:t>
      </w:r>
      <w:r>
        <w:rPr>
          <w:rFonts w:ascii="Times New Roman" w:eastAsia="宋体" w:cs="Times New Roman"/>
          <w:sz w:val="24"/>
          <w:lang w:bidi="en-US"/>
        </w:rPr>
        <w:t>4</w:t>
      </w:r>
      <w:r>
        <w:rPr>
          <w:rFonts w:ascii="Times New Roman" w:hAnsi="宋体" w:eastAsia="宋体" w:cs="Times New Roman"/>
          <w:sz w:val="24"/>
          <w:lang w:bidi="en-US"/>
        </w:rPr>
        <w:t>号</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《关于印发水利水电建设项目水土保持与水生生态保护技术政策研讨会会议既要的函》</w:t>
      </w:r>
      <w:r>
        <w:rPr>
          <w:rFonts w:ascii="Times New Roman" w:eastAsia="宋体" w:cs="Times New Roman"/>
          <w:sz w:val="24"/>
          <w:lang w:bidi="en-US"/>
        </w:rPr>
        <w:t>(</w:t>
      </w:r>
      <w:r>
        <w:rPr>
          <w:rFonts w:ascii="Times New Roman" w:hAnsi="宋体" w:eastAsia="宋体" w:cs="Times New Roman"/>
          <w:sz w:val="24"/>
          <w:lang w:bidi="en-US"/>
        </w:rPr>
        <w:t>环办函〔</w:t>
      </w:r>
      <w:r>
        <w:rPr>
          <w:rFonts w:ascii="Times New Roman" w:eastAsia="宋体" w:cs="Times New Roman"/>
          <w:sz w:val="24"/>
          <w:lang w:bidi="en-US"/>
        </w:rPr>
        <w:t>2006</w:t>
      </w:r>
      <w:r>
        <w:rPr>
          <w:rFonts w:ascii="Times New Roman" w:hAnsi="宋体" w:eastAsia="宋体" w:cs="Times New Roman"/>
          <w:sz w:val="24"/>
          <w:lang w:bidi="en-US"/>
        </w:rPr>
        <w:t>〕</w:t>
      </w:r>
      <w:r>
        <w:rPr>
          <w:rFonts w:ascii="Times New Roman" w:eastAsia="宋体" w:cs="Times New Roman"/>
          <w:sz w:val="24"/>
          <w:lang w:bidi="en-US"/>
        </w:rPr>
        <w:t>11</w:t>
      </w:r>
      <w:r>
        <w:rPr>
          <w:rFonts w:ascii="Times New Roman" w:hAnsi="宋体" w:eastAsia="宋体" w:cs="Times New Roman"/>
          <w:sz w:val="24"/>
          <w:lang w:bidi="en-US"/>
        </w:rPr>
        <w:t>号</w:t>
      </w:r>
      <w:r>
        <w:rPr>
          <w:rFonts w:ascii="Times New Roman" w:eastAsia="宋体" w:cs="Times New Roman"/>
          <w:sz w:val="24"/>
          <w:lang w:bidi="en-US"/>
        </w:rPr>
        <w:t>)</w:t>
      </w:r>
    </w:p>
    <w:p>
      <w:pPr>
        <w:pStyle w:val="2"/>
        <w:snapToGrid w:val="0"/>
        <w:spacing w:line="360" w:lineRule="auto"/>
        <w:rPr>
          <w:rFonts w:ascii="Times New Roman" w:eastAsia="宋体" w:cs="Times New Roman"/>
          <w:sz w:val="24"/>
          <w:lang w:bidi="en-US"/>
        </w:rPr>
      </w:pPr>
      <w:r>
        <w:rPr>
          <w:rFonts w:ascii="Times New Roman" w:hAnsi="宋体" w:eastAsia="宋体" w:cs="Times New Roman"/>
          <w:sz w:val="24"/>
          <w:lang w:bidi="en-US"/>
        </w:rPr>
        <w:t>《环境影响评价公众参与办法》（</w:t>
      </w:r>
      <w:r>
        <w:rPr>
          <w:rFonts w:ascii="Times New Roman" w:eastAsia="宋体" w:cs="Times New Roman"/>
          <w:sz w:val="24"/>
          <w:lang w:bidi="en-US"/>
        </w:rPr>
        <w:t>2019</w:t>
      </w:r>
      <w:r>
        <w:rPr>
          <w:rFonts w:ascii="Times New Roman" w:hAnsi="宋体" w:eastAsia="宋体" w:cs="Times New Roman"/>
          <w:sz w:val="24"/>
          <w:lang w:bidi="en-US"/>
        </w:rPr>
        <w:t>年</w:t>
      </w:r>
      <w:r>
        <w:rPr>
          <w:rFonts w:ascii="Times New Roman" w:eastAsia="宋体" w:cs="Times New Roman"/>
          <w:sz w:val="24"/>
          <w:lang w:bidi="en-US"/>
        </w:rPr>
        <w:t>1</w:t>
      </w:r>
      <w:r>
        <w:rPr>
          <w:rFonts w:ascii="Times New Roman" w:hAnsi="宋体" w:eastAsia="宋体" w:cs="Times New Roman"/>
          <w:sz w:val="24"/>
          <w:lang w:bidi="en-US"/>
        </w:rPr>
        <w:t>月</w:t>
      </w:r>
      <w:r>
        <w:rPr>
          <w:rFonts w:ascii="Times New Roman" w:eastAsia="宋体" w:cs="Times New Roman"/>
          <w:sz w:val="24"/>
          <w:lang w:bidi="en-US"/>
        </w:rPr>
        <w:t>1</w:t>
      </w:r>
      <w:r>
        <w:rPr>
          <w:rFonts w:ascii="Times New Roman" w:hAnsi="宋体" w:eastAsia="宋体" w:cs="Times New Roman"/>
          <w:sz w:val="24"/>
          <w:lang w:bidi="en-US"/>
        </w:rPr>
        <w:t>日施行）</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2.3技术标准</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(1)《环境影响评价技术导则总纲》，HJ2.1-2011；</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(2)《环境影响评价技术导则地面水环境》，HJ/T2.3-2018；</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(3)《环境影响评价技术导则大气环境》，HJ2.2-2018；</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(4)《环境影响评价技术导则声环境》，HJ2.4-2009；</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(5)《环境影响评价技术导则生态影响》，HJ19-2011；</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(6)《环境影响评价技术导则水利水电工程》，HJ/T88-2003；</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(7)《开发建设项目水土保持技术规范》，GB50433-2008；</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(8)《建设项目竣工环境保护验收技术规范生态影响类》，HJ/T394-2007；</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(9)《建设项目竣工环境保护验收技术规范水利水电》，HJ464-2009；</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(10)《地表水和污水监测技术规范》，HJ/T91-2002；</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(11)《声环境功能区划分技术规范》，</w:t>
      </w:r>
      <w:r>
        <w:rPr>
          <w:rFonts w:eastAsia="宋体"/>
        </w:rPr>
        <w:t>GB/T15190-2014。</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3．成果文件要求</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3.1 </w:t>
      </w:r>
      <w:r>
        <w:rPr>
          <w:rFonts w:hint="eastAsia" w:ascii="宋体" w:hAnsi="宋体" w:eastAsia="宋体"/>
        </w:rPr>
        <w:t>成果进度要求</w:t>
      </w:r>
    </w:p>
    <w:p>
      <w:pPr>
        <w:spacing w:line="360" w:lineRule="auto"/>
        <w:ind w:firstLine="480" w:firstLineChars="200"/>
        <w:rPr>
          <w:rFonts w:eastAsia="宋体"/>
          <w:highlight w:val="yellow"/>
          <w:lang w:bidi="en-US"/>
        </w:rPr>
      </w:pPr>
      <w:r>
        <w:rPr>
          <w:rFonts w:hAnsi="宋体" w:eastAsia="宋体"/>
        </w:rPr>
        <w:t>合同签订之日起至金沙水电站竣工环保验收通过验收并完成验收备案</w:t>
      </w:r>
      <w:r>
        <w:rPr>
          <w:rFonts w:hAnsi="宋体" w:eastAsia="宋体"/>
          <w:lang w:bidi="en-US"/>
        </w:rPr>
        <w:t>。进度要求如下：</w:t>
      </w:r>
    </w:p>
    <w:p>
      <w:pPr>
        <w:snapToGrid w:val="0"/>
        <w:spacing w:line="360" w:lineRule="auto"/>
        <w:ind w:firstLine="480" w:firstLineChars="200"/>
        <w:rPr>
          <w:rFonts w:eastAsia="宋体"/>
          <w:highlight w:val="none"/>
        </w:rPr>
      </w:pPr>
      <w:r>
        <w:rPr>
          <w:rFonts w:hAnsi="宋体" w:eastAsia="宋体"/>
          <w:highlight w:val="none"/>
        </w:rPr>
        <w:t>（</w:t>
      </w:r>
      <w:r>
        <w:rPr>
          <w:rFonts w:eastAsia="宋体"/>
          <w:highlight w:val="none"/>
        </w:rPr>
        <w:t>1</w:t>
      </w:r>
      <w:r>
        <w:rPr>
          <w:rFonts w:hAnsi="宋体" w:eastAsia="宋体"/>
          <w:highlight w:val="none"/>
        </w:rPr>
        <w:t>）</w:t>
      </w:r>
      <w:r>
        <w:rPr>
          <w:rFonts w:eastAsia="宋体"/>
          <w:highlight w:val="none"/>
        </w:rPr>
        <w:t>202</w:t>
      </w:r>
      <w:r>
        <w:rPr>
          <w:rFonts w:hint="eastAsia" w:eastAsia="宋体"/>
          <w:highlight w:val="none"/>
        </w:rPr>
        <w:t>2</w:t>
      </w:r>
      <w:r>
        <w:rPr>
          <w:rFonts w:hAnsi="宋体" w:eastAsia="宋体"/>
          <w:highlight w:val="none"/>
        </w:rPr>
        <w:t>年</w:t>
      </w:r>
      <w:r>
        <w:rPr>
          <w:rFonts w:hint="eastAsia" w:eastAsia="宋体"/>
          <w:highlight w:val="none"/>
        </w:rPr>
        <w:t>10</w:t>
      </w:r>
      <w:r>
        <w:rPr>
          <w:rFonts w:hAnsi="宋体" w:eastAsia="宋体"/>
          <w:highlight w:val="none"/>
        </w:rPr>
        <w:t>月</w:t>
      </w:r>
      <w:r>
        <w:rPr>
          <w:rFonts w:hint="eastAsia" w:eastAsia="宋体"/>
          <w:highlight w:val="none"/>
        </w:rPr>
        <w:t>31</w:t>
      </w:r>
      <w:r>
        <w:rPr>
          <w:rFonts w:hAnsi="宋体" w:eastAsia="宋体"/>
          <w:highlight w:val="none"/>
        </w:rPr>
        <w:t>日前编制完成金沙水电站</w:t>
      </w:r>
      <w:r>
        <w:rPr>
          <w:rFonts w:hint="eastAsia" w:hAnsi="宋体" w:eastAsia="宋体"/>
          <w:highlight w:val="none"/>
        </w:rPr>
        <w:t>运行期陆生生态调查</w:t>
      </w:r>
      <w:r>
        <w:rPr>
          <w:rFonts w:hAnsi="宋体" w:eastAsia="宋体"/>
          <w:highlight w:val="none"/>
        </w:rPr>
        <w:t>报告咨询稿；</w:t>
      </w:r>
    </w:p>
    <w:p>
      <w:pPr>
        <w:snapToGrid w:val="0"/>
        <w:spacing w:line="360" w:lineRule="auto"/>
        <w:ind w:firstLine="480" w:firstLineChars="200"/>
        <w:rPr>
          <w:rFonts w:hAnsi="宋体" w:eastAsia="宋体"/>
          <w:highlight w:val="none"/>
        </w:rPr>
      </w:pPr>
      <w:r>
        <w:rPr>
          <w:rFonts w:hAnsi="宋体" w:eastAsia="宋体"/>
          <w:highlight w:val="none"/>
        </w:rPr>
        <w:t>（</w:t>
      </w:r>
      <w:r>
        <w:rPr>
          <w:rFonts w:eastAsia="宋体"/>
          <w:highlight w:val="none"/>
        </w:rPr>
        <w:t>2</w:t>
      </w:r>
      <w:r>
        <w:rPr>
          <w:rFonts w:hAnsi="宋体" w:eastAsia="宋体"/>
          <w:highlight w:val="none"/>
        </w:rPr>
        <w:t>）</w:t>
      </w:r>
      <w:r>
        <w:rPr>
          <w:rFonts w:eastAsia="宋体"/>
          <w:highlight w:val="none"/>
        </w:rPr>
        <w:t>202</w:t>
      </w:r>
      <w:r>
        <w:rPr>
          <w:rFonts w:hint="eastAsia" w:eastAsia="宋体"/>
          <w:highlight w:val="none"/>
        </w:rPr>
        <w:t>2</w:t>
      </w:r>
      <w:r>
        <w:rPr>
          <w:rFonts w:hAnsi="宋体" w:eastAsia="宋体"/>
          <w:highlight w:val="none"/>
        </w:rPr>
        <w:t>年</w:t>
      </w:r>
      <w:r>
        <w:rPr>
          <w:rFonts w:hint="eastAsia" w:eastAsia="宋体"/>
          <w:highlight w:val="none"/>
        </w:rPr>
        <w:t>12</w:t>
      </w:r>
      <w:r>
        <w:rPr>
          <w:rFonts w:hAnsi="宋体" w:eastAsia="宋体"/>
          <w:highlight w:val="none"/>
        </w:rPr>
        <w:t>月</w:t>
      </w:r>
      <w:r>
        <w:rPr>
          <w:rFonts w:hint="eastAsia" w:eastAsia="宋体"/>
          <w:highlight w:val="none"/>
        </w:rPr>
        <w:t>31</w:t>
      </w:r>
      <w:r>
        <w:rPr>
          <w:rFonts w:hAnsi="宋体" w:eastAsia="宋体"/>
          <w:highlight w:val="none"/>
        </w:rPr>
        <w:t>日前编制完成金沙水电站</w:t>
      </w:r>
      <w:r>
        <w:rPr>
          <w:rFonts w:hint="eastAsia" w:hAnsi="宋体" w:eastAsia="宋体"/>
          <w:highlight w:val="none"/>
        </w:rPr>
        <w:t>运行期陆生生态调查</w:t>
      </w:r>
      <w:r>
        <w:rPr>
          <w:rFonts w:hAnsi="宋体" w:eastAsia="宋体"/>
          <w:highlight w:val="none"/>
        </w:rPr>
        <w:t>报告</w:t>
      </w:r>
      <w:r>
        <w:rPr>
          <w:rFonts w:hint="eastAsia" w:hAnsi="宋体" w:eastAsia="宋体"/>
          <w:highlight w:val="none"/>
        </w:rPr>
        <w:t>最终</w:t>
      </w:r>
      <w:r>
        <w:rPr>
          <w:rFonts w:hAnsi="宋体" w:eastAsia="宋体"/>
          <w:highlight w:val="none"/>
        </w:rPr>
        <w:t>稿；</w:t>
      </w:r>
    </w:p>
    <w:p>
      <w:pPr>
        <w:snapToGrid w:val="0"/>
        <w:spacing w:line="360" w:lineRule="auto"/>
        <w:ind w:firstLine="480" w:firstLineChars="200"/>
        <w:rPr>
          <w:rFonts w:hAnsi="宋体" w:eastAsia="宋体"/>
          <w:highlight w:val="none"/>
        </w:rPr>
      </w:pPr>
      <w:r>
        <w:rPr>
          <w:rFonts w:hint="eastAsia" w:eastAsia="宋体"/>
          <w:highlight w:val="none"/>
        </w:rPr>
        <w:t>（3）</w:t>
      </w:r>
      <w:r>
        <w:rPr>
          <w:rFonts w:eastAsia="宋体"/>
          <w:highlight w:val="none"/>
        </w:rPr>
        <w:t>202</w:t>
      </w:r>
      <w:r>
        <w:rPr>
          <w:rFonts w:hint="eastAsia" w:eastAsia="宋体"/>
          <w:highlight w:val="none"/>
        </w:rPr>
        <w:t>3</w:t>
      </w:r>
      <w:r>
        <w:rPr>
          <w:rFonts w:hAnsi="宋体" w:eastAsia="宋体"/>
          <w:highlight w:val="none"/>
        </w:rPr>
        <w:t>年</w:t>
      </w:r>
      <w:r>
        <w:rPr>
          <w:rFonts w:hint="eastAsia" w:eastAsia="宋体"/>
          <w:highlight w:val="none"/>
        </w:rPr>
        <w:t>9</w:t>
      </w:r>
      <w:r>
        <w:rPr>
          <w:rFonts w:hAnsi="宋体" w:eastAsia="宋体"/>
          <w:highlight w:val="none"/>
        </w:rPr>
        <w:t>月</w:t>
      </w:r>
      <w:r>
        <w:rPr>
          <w:rFonts w:hint="eastAsia" w:eastAsia="宋体"/>
          <w:highlight w:val="none"/>
        </w:rPr>
        <w:t>31</w:t>
      </w:r>
      <w:r>
        <w:rPr>
          <w:rFonts w:hAnsi="宋体" w:eastAsia="宋体"/>
          <w:highlight w:val="none"/>
        </w:rPr>
        <w:t>日前编制完成金沙江金沙水电站竣工环境保护验收报告咨询稿；</w:t>
      </w:r>
    </w:p>
    <w:p>
      <w:pPr>
        <w:snapToGrid w:val="0"/>
        <w:spacing w:line="360" w:lineRule="auto"/>
        <w:ind w:firstLine="480" w:firstLineChars="200"/>
        <w:rPr>
          <w:rFonts w:eastAsia="宋体"/>
        </w:rPr>
      </w:pPr>
      <w:r>
        <w:rPr>
          <w:rFonts w:hint="eastAsia" w:hAnsi="宋体" w:eastAsia="宋体"/>
          <w:highlight w:val="none"/>
        </w:rPr>
        <w:t>（4）</w:t>
      </w:r>
      <w:r>
        <w:rPr>
          <w:rFonts w:eastAsia="宋体"/>
          <w:highlight w:val="none"/>
        </w:rPr>
        <w:t>202</w:t>
      </w:r>
      <w:r>
        <w:rPr>
          <w:rFonts w:hint="eastAsia" w:eastAsia="宋体"/>
          <w:highlight w:val="none"/>
        </w:rPr>
        <w:t>3</w:t>
      </w:r>
      <w:r>
        <w:rPr>
          <w:rFonts w:hAnsi="宋体" w:eastAsia="宋体"/>
          <w:highlight w:val="none"/>
        </w:rPr>
        <w:t>年</w:t>
      </w:r>
      <w:r>
        <w:rPr>
          <w:rFonts w:hint="eastAsia" w:eastAsia="宋体"/>
          <w:highlight w:val="none"/>
        </w:rPr>
        <w:t>10</w:t>
      </w:r>
      <w:r>
        <w:rPr>
          <w:rFonts w:hAnsi="宋体" w:eastAsia="宋体"/>
          <w:highlight w:val="none"/>
        </w:rPr>
        <w:t>月</w:t>
      </w:r>
      <w:r>
        <w:rPr>
          <w:rFonts w:hint="eastAsia" w:eastAsia="宋体"/>
          <w:highlight w:val="none"/>
        </w:rPr>
        <w:t>31</w:t>
      </w:r>
      <w:r>
        <w:rPr>
          <w:rFonts w:hAnsi="宋体" w:eastAsia="宋体"/>
          <w:highlight w:val="none"/>
        </w:rPr>
        <w:t>日</w:t>
      </w:r>
      <w:r>
        <w:rPr>
          <w:rFonts w:hAnsi="宋体" w:eastAsia="宋体"/>
        </w:rPr>
        <w:t>前提交满足验收会议的金沙江金沙水电站竣工环境保护验收报告。</w:t>
      </w:r>
    </w:p>
    <w:p>
      <w:pPr>
        <w:spacing w:line="360" w:lineRule="auto"/>
        <w:ind w:firstLine="480" w:firstLineChars="200"/>
        <w:rPr>
          <w:rFonts w:ascii="宋体" w:hAnsi="宋体" w:eastAsia="宋体"/>
        </w:rPr>
      </w:pPr>
      <w:r>
        <w:rPr>
          <w:rFonts w:ascii="宋体" w:hAnsi="宋体" w:eastAsia="宋体"/>
        </w:rPr>
        <w:t>环境保护验收报告成果需满足工程竣工验收进度要求。</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3.2成果文件质量要求</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1）工程竣工阶段陆生生态调查和竣工环境保护验收调查报告的编制应符合国家和地方现行有效的法律、法规、规章、标准、规程和合同的要求。</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2）报告编制依据的基本资料应完整、准确、充分、可靠。</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3）报告的分析等应当充分全面，结论可靠。</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4）报告编制深度应满足相应阶段验收的有关规定要求，并符合相关规范要求。</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5）提交成果应满足环境行政主管部门对本项目的要求。</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3.3成果归属要求</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1）本项目成果为</w:t>
      </w:r>
      <w:r>
        <w:rPr>
          <w:rFonts w:hint="eastAsia" w:ascii="宋体" w:hAnsi="宋体" w:eastAsia="宋体"/>
        </w:rPr>
        <w:t>招标人</w:t>
      </w:r>
      <w:r>
        <w:rPr>
          <w:rFonts w:ascii="宋体" w:hAnsi="宋体" w:eastAsia="宋体"/>
        </w:rPr>
        <w:t>所有，未经</w:t>
      </w:r>
      <w:r>
        <w:rPr>
          <w:rFonts w:hint="eastAsia" w:ascii="宋体" w:hAnsi="宋体" w:eastAsia="宋体"/>
        </w:rPr>
        <w:t>招标人</w:t>
      </w:r>
      <w:r>
        <w:rPr>
          <w:rFonts w:ascii="宋体" w:hAnsi="宋体" w:eastAsia="宋体"/>
        </w:rPr>
        <w:t>同意不得将本项目成果和相关资料用于第三方。</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2）利用本项目成果撰写科技论文、出版著述的，应获得</w:t>
      </w:r>
      <w:r>
        <w:rPr>
          <w:rFonts w:hint="eastAsia" w:ascii="宋体" w:hAnsi="宋体" w:eastAsia="宋体"/>
        </w:rPr>
        <w:t>招标人</w:t>
      </w:r>
      <w:r>
        <w:rPr>
          <w:rFonts w:ascii="宋体" w:hAnsi="宋体" w:eastAsia="宋体"/>
        </w:rPr>
        <w:t>书面同意，并需标注“由四川省能投攀枝花水电开发公司资助”。</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3）利用本项目成果申报各种科技奖项，须经</w:t>
      </w:r>
      <w:r>
        <w:rPr>
          <w:rFonts w:hint="eastAsia" w:ascii="宋体" w:hAnsi="宋体" w:eastAsia="宋体"/>
        </w:rPr>
        <w:t>招标人</w:t>
      </w:r>
      <w:r>
        <w:rPr>
          <w:rFonts w:ascii="宋体" w:hAnsi="宋体" w:eastAsia="宋体"/>
        </w:rPr>
        <w:t>同意，并由双方共同申报。</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3.4成果文件的其他要求</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技术服务工作完成后，应提交《金沙江金沙水电站竣工环境保护验收调查报告》（具体份数根据会议规模提供）供审查。审查通过后，提供纸质最终成果报告不少于</w:t>
      </w:r>
      <w:r>
        <w:rPr>
          <w:rFonts w:ascii="宋体" w:hAnsi="宋体" w:eastAsia="宋体"/>
        </w:rPr>
        <w:t>10份。</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上述成果均需提供与纸质报告内容一致的报告电子版</w:t>
      </w:r>
      <w:r>
        <w:rPr>
          <w:rFonts w:ascii="宋体" w:hAnsi="宋体" w:eastAsia="宋体"/>
        </w:rPr>
        <w:t>2份(一份可编辑文件，一份不可编辑文件)，调查报告应内容全面、文字简洁、表达准确，以上文字报告均采用word格式编写。</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4．</w:t>
      </w:r>
      <w:r>
        <w:rPr>
          <w:rFonts w:hint="eastAsia" w:ascii="宋体" w:hAnsi="宋体" w:eastAsia="宋体"/>
        </w:rPr>
        <w:t>招标人</w:t>
      </w:r>
      <w:r>
        <w:rPr>
          <w:rFonts w:ascii="宋体" w:hAnsi="宋体" w:eastAsia="宋体"/>
        </w:rPr>
        <w:t>财产清单</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4.1 </w:t>
      </w:r>
      <w:r>
        <w:rPr>
          <w:rFonts w:hint="eastAsia" w:ascii="宋体" w:hAnsi="宋体" w:eastAsia="宋体"/>
        </w:rPr>
        <w:t>招标人提供的设备、设施</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无。</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4.2 </w:t>
      </w:r>
      <w:r>
        <w:rPr>
          <w:rFonts w:hint="eastAsia" w:ascii="宋体" w:hAnsi="宋体" w:eastAsia="宋体"/>
        </w:rPr>
        <w:t>招标人提供的资料</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详见合同条款。</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4.3 </w:t>
      </w:r>
      <w:r>
        <w:rPr>
          <w:rFonts w:hint="eastAsia" w:ascii="宋体" w:hAnsi="宋体" w:eastAsia="宋体"/>
        </w:rPr>
        <w:t>招标人财产使用要求及退还要求</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无。</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5．</w:t>
      </w:r>
      <w:r>
        <w:rPr>
          <w:rFonts w:hint="eastAsia" w:ascii="宋体" w:hAnsi="宋体" w:eastAsia="宋体"/>
        </w:rPr>
        <w:t>招标人</w:t>
      </w:r>
      <w:r>
        <w:rPr>
          <w:rFonts w:ascii="宋体" w:hAnsi="宋体" w:eastAsia="宋体"/>
        </w:rPr>
        <w:t>提供的便利条件</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5.1 </w:t>
      </w:r>
      <w:r>
        <w:rPr>
          <w:rFonts w:hint="eastAsia" w:ascii="宋体" w:hAnsi="宋体" w:eastAsia="宋体"/>
        </w:rPr>
        <w:t>招标人</w:t>
      </w:r>
      <w:r>
        <w:rPr>
          <w:rFonts w:ascii="宋体" w:hAnsi="宋体" w:eastAsia="宋体"/>
        </w:rPr>
        <w:t>提供的生活条件</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无。</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5.2 </w:t>
      </w:r>
      <w:r>
        <w:rPr>
          <w:rFonts w:hint="eastAsia" w:ascii="宋体" w:hAnsi="宋体" w:eastAsia="宋体"/>
        </w:rPr>
        <w:t>招标人</w:t>
      </w:r>
      <w:r>
        <w:rPr>
          <w:rFonts w:ascii="宋体" w:hAnsi="宋体" w:eastAsia="宋体"/>
        </w:rPr>
        <w:t>提供的交通条件</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无。</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5.3 </w:t>
      </w:r>
      <w:r>
        <w:rPr>
          <w:rFonts w:hint="eastAsia" w:ascii="宋体" w:hAnsi="宋体" w:eastAsia="宋体"/>
        </w:rPr>
        <w:t>招标人</w:t>
      </w:r>
      <w:r>
        <w:rPr>
          <w:rFonts w:ascii="宋体" w:hAnsi="宋体" w:eastAsia="宋体"/>
        </w:rPr>
        <w:t>提供的网络、通讯条件</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无。</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5.4 </w:t>
      </w:r>
      <w:r>
        <w:rPr>
          <w:rFonts w:hint="eastAsia" w:ascii="宋体" w:hAnsi="宋体" w:eastAsia="宋体"/>
        </w:rPr>
        <w:t>招标人</w:t>
      </w:r>
      <w:r>
        <w:rPr>
          <w:rFonts w:ascii="宋体" w:hAnsi="宋体" w:eastAsia="宋体"/>
        </w:rPr>
        <w:t>提供的协助人员</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无。</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6．</w:t>
      </w:r>
      <w:r>
        <w:rPr>
          <w:rFonts w:hint="eastAsia" w:ascii="宋体" w:hAnsi="宋体" w:eastAsia="宋体"/>
        </w:rPr>
        <w:t>承包人</w:t>
      </w:r>
      <w:r>
        <w:rPr>
          <w:rFonts w:ascii="宋体" w:hAnsi="宋体" w:eastAsia="宋体"/>
        </w:rPr>
        <w:t>人需要自备的工作条件</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6.1 </w:t>
      </w:r>
      <w:r>
        <w:rPr>
          <w:rFonts w:hint="eastAsia" w:ascii="宋体" w:hAnsi="宋体" w:eastAsia="宋体"/>
        </w:rPr>
        <w:t>承包人</w:t>
      </w:r>
      <w:r>
        <w:rPr>
          <w:rFonts w:ascii="宋体" w:hAnsi="宋体" w:eastAsia="宋体"/>
        </w:rPr>
        <w:t>自备的工作手册：如本项目必备的规范标准、图集等</w:t>
      </w:r>
      <w:r>
        <w:rPr>
          <w:rFonts w:hint="eastAsia" w:ascii="宋体" w:hAnsi="宋体" w:eastAsia="宋体"/>
        </w:rPr>
        <w:t>。</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6.2 </w:t>
      </w:r>
      <w:r>
        <w:rPr>
          <w:rFonts w:hint="eastAsia" w:ascii="宋体" w:hAnsi="宋体" w:eastAsia="宋体"/>
        </w:rPr>
        <w:t>承包人</w:t>
      </w:r>
      <w:r>
        <w:rPr>
          <w:rFonts w:ascii="宋体" w:hAnsi="宋体" w:eastAsia="宋体"/>
        </w:rPr>
        <w:t>自备的办公设备：如电脑、软件、投影、打印机、复印机、照相机等</w:t>
      </w:r>
      <w:r>
        <w:rPr>
          <w:rFonts w:hint="eastAsia" w:ascii="宋体" w:hAnsi="宋体" w:eastAsia="宋体"/>
        </w:rPr>
        <w:t>。</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6.3 </w:t>
      </w:r>
      <w:r>
        <w:rPr>
          <w:rFonts w:hint="eastAsia" w:ascii="宋体" w:hAnsi="宋体" w:eastAsia="宋体"/>
        </w:rPr>
        <w:t>承包人</w:t>
      </w:r>
      <w:r>
        <w:rPr>
          <w:rFonts w:ascii="宋体" w:hAnsi="宋体" w:eastAsia="宋体"/>
        </w:rPr>
        <w:t>自备的交通工具：如出行车辆等</w:t>
      </w:r>
      <w:r>
        <w:rPr>
          <w:rFonts w:hint="eastAsia" w:ascii="宋体" w:hAnsi="宋体" w:eastAsia="宋体"/>
        </w:rPr>
        <w:t>。</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6.4 </w:t>
      </w:r>
      <w:r>
        <w:rPr>
          <w:rFonts w:hint="eastAsia" w:ascii="宋体" w:hAnsi="宋体" w:eastAsia="宋体"/>
        </w:rPr>
        <w:t>承包人</w:t>
      </w:r>
      <w:r>
        <w:rPr>
          <w:rFonts w:ascii="宋体" w:hAnsi="宋体" w:eastAsia="宋体"/>
        </w:rPr>
        <w:t>自备的现场办公设施：如办公桌椅、文件柜等</w:t>
      </w:r>
      <w:r>
        <w:rPr>
          <w:rFonts w:hint="eastAsia" w:ascii="宋体" w:hAnsi="宋体" w:eastAsia="宋体"/>
        </w:rPr>
        <w:t>。</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6.5 </w:t>
      </w:r>
      <w:r>
        <w:rPr>
          <w:rFonts w:hint="eastAsia" w:ascii="宋体" w:hAnsi="宋体" w:eastAsia="宋体"/>
        </w:rPr>
        <w:t>承包人</w:t>
      </w:r>
      <w:r>
        <w:rPr>
          <w:rFonts w:ascii="宋体" w:hAnsi="宋体" w:eastAsia="宋体"/>
        </w:rPr>
        <w:t>自备的安全设施：如安全帽、安全鞋、手电筒等</w:t>
      </w:r>
      <w:r>
        <w:rPr>
          <w:rFonts w:hint="eastAsia" w:ascii="宋体" w:hAnsi="宋体" w:eastAsia="宋体"/>
        </w:rPr>
        <w:t>。</w:t>
      </w:r>
    </w:p>
    <w:p>
      <w:pPr>
        <w:topLinePunct/>
        <w:autoSpaceDE/>
        <w:autoSpaceDN/>
        <w:snapToGrid w:val="0"/>
        <w:spacing w:line="360" w:lineRule="auto"/>
        <w:ind w:firstLine="480" w:firstLineChars="200"/>
        <w:jc w:val="both"/>
        <w:textAlignment w:val="center"/>
        <w:rPr>
          <w:rFonts w:ascii="宋体" w:hAnsi="宋体" w:eastAsia="宋体"/>
        </w:rPr>
        <w:sectPr>
          <w:pgSz w:w="11907" w:h="16840"/>
          <w:pgMar w:top="1440" w:right="1440" w:bottom="1440" w:left="1440" w:header="992" w:footer="992" w:gutter="0"/>
          <w:cols w:equalWidth="0" w:num="1">
            <w:col w:w="9100"/>
          </w:cols>
        </w:sectPr>
      </w:pPr>
    </w:p>
    <w:p>
      <w:pPr>
        <w:pStyle w:val="3"/>
        <w:topLinePunct/>
        <w:autoSpaceDE/>
        <w:autoSpaceDN/>
        <w:textAlignment w:val="center"/>
        <w:rPr>
          <w:rFonts w:ascii="宋体" w:hAnsi="宋体" w:eastAsia="宋体"/>
        </w:rPr>
      </w:pPr>
      <w:bookmarkStart w:id="180" w:name="_Toc18324"/>
      <w:r>
        <w:rPr>
          <w:rFonts w:hint="eastAsia" w:ascii="宋体" w:hAnsi="宋体" w:eastAsia="宋体"/>
        </w:rPr>
        <w:t>第六章  投标文件格式</w:t>
      </w:r>
      <w:bookmarkEnd w:id="180"/>
    </w:p>
    <w:p>
      <w:pPr>
        <w:topLinePunct/>
        <w:autoSpaceDE/>
        <w:autoSpaceDN/>
        <w:snapToGrid w:val="0"/>
        <w:spacing w:line="360" w:lineRule="auto"/>
        <w:ind w:firstLine="480" w:firstLineChars="200"/>
        <w:jc w:val="both"/>
        <w:textAlignment w:val="center"/>
        <w:rPr>
          <w:rFonts w:ascii="宋体" w:hAnsi="宋体" w:eastAsia="宋体"/>
        </w:rPr>
      </w:pPr>
    </w:p>
    <w:p>
      <w:pPr>
        <w:topLinePunct/>
        <w:autoSpaceDE/>
        <w:autoSpaceDN/>
        <w:snapToGrid w:val="0"/>
        <w:spacing w:line="360" w:lineRule="auto"/>
        <w:ind w:firstLine="480" w:firstLineChars="200"/>
        <w:jc w:val="both"/>
        <w:textAlignment w:val="center"/>
        <w:rPr>
          <w:rFonts w:ascii="宋体" w:hAnsi="宋体" w:eastAsia="宋体"/>
        </w:rPr>
      </w:pPr>
    </w:p>
    <w:p/>
    <w:p/>
    <w:p/>
    <w:p/>
    <w:p>
      <w:pPr>
        <w:pStyle w:val="97"/>
        <w:jc w:val="center"/>
        <w:rPr>
          <w:rFonts w:hAnsi="宋体" w:cs="Times New Roman"/>
          <w:b/>
          <w:snapToGrid w:val="0"/>
          <w:color w:val="auto"/>
          <w:sz w:val="44"/>
          <w:szCs w:val="50"/>
        </w:rPr>
      </w:pPr>
      <w:r>
        <w:rPr>
          <w:rFonts w:hint="eastAsia"/>
        </w:rPr>
        <w:tab/>
      </w:r>
      <w:r>
        <w:rPr>
          <w:rFonts w:hint="eastAsia" w:hAnsi="宋体" w:cs="Times New Roman"/>
          <w:b/>
          <w:snapToGrid w:val="0"/>
          <w:color w:val="auto"/>
          <w:sz w:val="44"/>
          <w:szCs w:val="50"/>
        </w:rPr>
        <w:t>金沙江金沙水电站竣工环境保护验收</w:t>
      </w:r>
    </w:p>
    <w:p>
      <w:pPr>
        <w:pStyle w:val="97"/>
        <w:jc w:val="center"/>
        <w:rPr>
          <w:rFonts w:hAnsi="宋体" w:cs="Times New Roman"/>
          <w:b/>
          <w:snapToGrid w:val="0"/>
          <w:color w:val="auto"/>
          <w:sz w:val="44"/>
          <w:szCs w:val="50"/>
        </w:rPr>
      </w:pPr>
      <w:r>
        <w:rPr>
          <w:rFonts w:hint="eastAsia" w:hAnsi="宋体" w:cs="Times New Roman"/>
          <w:b/>
          <w:snapToGrid w:val="0"/>
          <w:color w:val="auto"/>
          <w:sz w:val="44"/>
          <w:szCs w:val="50"/>
        </w:rPr>
        <w:t>及陆生生态调查技术服务</w:t>
      </w:r>
      <w:r>
        <w:rPr>
          <w:rFonts w:hAnsi="宋体" w:cs="Times New Roman"/>
          <w:b/>
          <w:snapToGrid w:val="0"/>
          <w:color w:val="auto"/>
          <w:sz w:val="44"/>
          <w:szCs w:val="50"/>
        </w:rPr>
        <w:t>投标文件</w:t>
      </w:r>
    </w:p>
    <w:p>
      <w:pPr>
        <w:tabs>
          <w:tab w:val="left" w:pos="1531"/>
        </w:tabs>
      </w:pPr>
    </w:p>
    <w:p/>
    <w:p/>
    <w:p/>
    <w:p/>
    <w:p/>
    <w:p/>
    <w:p/>
    <w:p>
      <w:pPr>
        <w:pStyle w:val="25"/>
        <w:adjustRightInd w:val="0"/>
        <w:snapToGrid w:val="0"/>
        <w:ind w:firstLine="58" w:firstLineChars="28"/>
        <w:jc w:val="center"/>
        <w:rPr>
          <w:rFonts w:ascii="time" w:hAnsi="time"/>
          <w:color w:val="000000"/>
          <w:sz w:val="96"/>
          <w:szCs w:val="72"/>
        </w:rPr>
      </w:pPr>
      <w:r>
        <w:rPr>
          <w:rFonts w:hint="eastAsia"/>
        </w:rPr>
        <w:tab/>
      </w:r>
      <w:r>
        <w:rPr>
          <w:rFonts w:hint="eastAsia" w:ascii="time" w:hAnsi="time"/>
          <w:b/>
          <w:bCs/>
          <w:color w:val="000000"/>
          <w:sz w:val="72"/>
          <w:szCs w:val="72"/>
        </w:rPr>
        <w:t>投标文件</w:t>
      </w:r>
    </w:p>
    <w:p>
      <w:pPr>
        <w:tabs>
          <w:tab w:val="left" w:pos="3781"/>
        </w:tabs>
      </w:pPr>
    </w:p>
    <w:p/>
    <w:p/>
    <w:p/>
    <w:p/>
    <w:p/>
    <w:p/>
    <w:p/>
    <w:p/>
    <w:p/>
    <w:p/>
    <w:p/>
    <w:p>
      <w:pPr>
        <w:spacing w:line="360" w:lineRule="auto"/>
        <w:jc w:val="center"/>
        <w:rPr>
          <w:rFonts w:ascii="time" w:hAnsi="time"/>
          <w:color w:val="000000"/>
          <w:sz w:val="30"/>
          <w:szCs w:val="30"/>
        </w:rPr>
      </w:pPr>
      <w:r>
        <w:rPr>
          <w:rFonts w:hint="eastAsia"/>
        </w:rPr>
        <w:tab/>
      </w:r>
    </w:p>
    <w:p>
      <w:pPr>
        <w:pStyle w:val="25"/>
        <w:spacing w:line="360" w:lineRule="auto"/>
        <w:ind w:firstLine="2811" w:firstLineChars="1000"/>
        <w:rPr>
          <w:rFonts w:ascii="time" w:hAnsi="time"/>
          <w:b/>
          <w:color w:val="000000"/>
          <w:sz w:val="28"/>
          <w:szCs w:val="28"/>
          <w:u w:val="single"/>
        </w:rPr>
      </w:pPr>
      <w:r>
        <w:rPr>
          <w:rFonts w:hint="eastAsia" w:ascii="time" w:hAnsi="time"/>
          <w:b/>
          <w:color w:val="000000"/>
          <w:sz w:val="28"/>
          <w:szCs w:val="28"/>
        </w:rPr>
        <w:t>投标人：</w:t>
      </w:r>
      <w:r>
        <w:rPr>
          <w:rFonts w:hint="eastAsia" w:ascii="time" w:hAnsi="time"/>
          <w:b/>
          <w:color w:val="000000"/>
          <w:sz w:val="28"/>
          <w:szCs w:val="28"/>
          <w:u w:val="single"/>
        </w:rPr>
        <w:t xml:space="preserve">                         </w:t>
      </w:r>
    </w:p>
    <w:p>
      <w:pPr>
        <w:pStyle w:val="25"/>
        <w:spacing w:line="360" w:lineRule="auto"/>
        <w:ind w:firstLine="2811" w:firstLineChars="1000"/>
        <w:rPr>
          <w:rFonts w:ascii="time" w:hAnsi="time"/>
          <w:b/>
          <w:color w:val="000000"/>
          <w:sz w:val="36"/>
          <w:szCs w:val="36"/>
          <w:u w:val="single"/>
        </w:rPr>
      </w:pPr>
      <w:r>
        <w:rPr>
          <w:rFonts w:hint="eastAsia" w:ascii="time" w:hAnsi="time"/>
          <w:b/>
          <w:color w:val="000000"/>
          <w:sz w:val="28"/>
          <w:szCs w:val="28"/>
        </w:rPr>
        <w:t>日  期：</w:t>
      </w:r>
      <w:r>
        <w:rPr>
          <w:rFonts w:hint="eastAsia" w:ascii="time" w:hAnsi="time"/>
          <w:b/>
          <w:color w:val="000000"/>
          <w:sz w:val="28"/>
          <w:szCs w:val="28"/>
          <w:u w:val="single"/>
        </w:rPr>
        <w:t xml:space="preserve"> </w:t>
      </w:r>
      <w:r>
        <w:rPr>
          <w:rFonts w:ascii="time" w:hAnsi="time"/>
          <w:b/>
          <w:color w:val="000000"/>
          <w:sz w:val="28"/>
          <w:szCs w:val="28"/>
          <w:u w:val="single"/>
        </w:rPr>
        <w:t xml:space="preserve">     </w:t>
      </w:r>
      <w:r>
        <w:rPr>
          <w:rFonts w:hint="eastAsia" w:ascii="time" w:hAnsi="time"/>
          <w:b/>
          <w:color w:val="000000"/>
          <w:sz w:val="28"/>
          <w:szCs w:val="28"/>
        </w:rPr>
        <w:t>年</w:t>
      </w:r>
      <w:r>
        <w:rPr>
          <w:rFonts w:hint="eastAsia" w:ascii="time" w:hAnsi="time"/>
          <w:b/>
          <w:color w:val="000000"/>
          <w:sz w:val="28"/>
          <w:szCs w:val="28"/>
          <w:u w:val="single"/>
        </w:rPr>
        <w:t xml:space="preserve">  </w:t>
      </w:r>
      <w:r>
        <w:rPr>
          <w:rFonts w:ascii="time" w:hAnsi="time"/>
          <w:b/>
          <w:color w:val="000000"/>
          <w:sz w:val="28"/>
          <w:szCs w:val="28"/>
          <w:u w:val="single"/>
        </w:rPr>
        <w:t xml:space="preserve">     </w:t>
      </w:r>
      <w:r>
        <w:rPr>
          <w:rFonts w:hint="eastAsia" w:ascii="time" w:hAnsi="time"/>
          <w:b/>
          <w:color w:val="000000"/>
          <w:sz w:val="28"/>
          <w:szCs w:val="28"/>
        </w:rPr>
        <w:t>月</w:t>
      </w:r>
      <w:r>
        <w:rPr>
          <w:rFonts w:hint="eastAsia" w:ascii="time" w:hAnsi="time"/>
          <w:b/>
          <w:color w:val="000000"/>
          <w:sz w:val="28"/>
          <w:szCs w:val="28"/>
          <w:u w:val="single"/>
        </w:rPr>
        <w:t xml:space="preserve"> </w:t>
      </w:r>
      <w:r>
        <w:rPr>
          <w:rFonts w:ascii="time" w:hAnsi="time"/>
          <w:b/>
          <w:color w:val="000000"/>
          <w:sz w:val="28"/>
          <w:szCs w:val="28"/>
          <w:u w:val="single"/>
        </w:rPr>
        <w:t xml:space="preserve">     </w:t>
      </w:r>
      <w:r>
        <w:rPr>
          <w:rFonts w:hint="eastAsia" w:ascii="time" w:hAnsi="time"/>
          <w:b/>
          <w:color w:val="000000"/>
          <w:sz w:val="28"/>
          <w:szCs w:val="28"/>
          <w:u w:val="single"/>
        </w:rPr>
        <w:t xml:space="preserve"> </w:t>
      </w:r>
      <w:r>
        <w:rPr>
          <w:rFonts w:hint="eastAsia" w:ascii="time" w:hAnsi="time"/>
          <w:b/>
          <w:color w:val="000000"/>
          <w:sz w:val="28"/>
          <w:szCs w:val="28"/>
        </w:rPr>
        <w:t>日</w:t>
      </w:r>
    </w:p>
    <w:p>
      <w:pPr>
        <w:tabs>
          <w:tab w:val="left" w:pos="2999"/>
        </w:tabs>
        <w:sectPr>
          <w:pgSz w:w="11907" w:h="16840"/>
          <w:pgMar w:top="1440" w:right="1440" w:bottom="1440" w:left="1440" w:header="992" w:footer="992" w:gutter="0"/>
          <w:cols w:space="720" w:num="1"/>
        </w:sectPr>
      </w:pPr>
    </w:p>
    <w:p>
      <w:pPr>
        <w:topLinePunct/>
        <w:autoSpaceDE/>
        <w:autoSpaceDN/>
        <w:snapToGrid w:val="0"/>
        <w:spacing w:line="360" w:lineRule="auto"/>
        <w:jc w:val="center"/>
        <w:textAlignment w:val="center"/>
        <w:rPr>
          <w:rFonts w:ascii="宋体" w:hAnsi="宋体" w:eastAsia="宋体"/>
        </w:rPr>
      </w:pPr>
    </w:p>
    <w:p>
      <w:pPr>
        <w:topLinePunct/>
        <w:autoSpaceDE/>
        <w:autoSpaceDN/>
        <w:snapToGrid w:val="0"/>
        <w:spacing w:line="360" w:lineRule="auto"/>
        <w:jc w:val="center"/>
        <w:textAlignment w:val="center"/>
        <w:rPr>
          <w:rFonts w:ascii="宋体" w:hAnsi="宋体" w:eastAsia="宋体"/>
        </w:rPr>
      </w:pPr>
    </w:p>
    <w:p>
      <w:pPr>
        <w:pStyle w:val="4"/>
        <w:jc w:val="center"/>
        <w:textAlignment w:val="center"/>
        <w:rPr>
          <w:rFonts w:ascii="宋体" w:hAnsi="宋体"/>
        </w:rPr>
      </w:pPr>
      <w:bookmarkStart w:id="181" w:name="_Toc533370062"/>
      <w:bookmarkStart w:id="182" w:name="_Toc13465"/>
      <w:bookmarkStart w:id="183" w:name="_Toc5804109"/>
      <w:r>
        <w:rPr>
          <w:rFonts w:hint="eastAsia" w:ascii="宋体" w:hAnsi="宋体"/>
        </w:rPr>
        <w:t>一、投标函</w:t>
      </w:r>
      <w:bookmarkEnd w:id="181"/>
      <w:bookmarkEnd w:id="182"/>
      <w:bookmarkEnd w:id="183"/>
    </w:p>
    <w:p>
      <w:pPr>
        <w:topLinePunct/>
        <w:autoSpaceDE/>
        <w:autoSpaceDN/>
        <w:snapToGrid w:val="0"/>
        <w:spacing w:before="2" w:line="100" w:lineRule="exact"/>
        <w:jc w:val="both"/>
        <w:textAlignment w:val="center"/>
        <w:rPr>
          <w:rFonts w:ascii="宋体" w:hAnsi="宋体" w:eastAsia="宋体"/>
          <w:sz w:val="10"/>
          <w:szCs w:val="10"/>
        </w:rPr>
      </w:pPr>
    </w:p>
    <w:p>
      <w:pPr>
        <w:topLinePunct/>
        <w:autoSpaceDE/>
        <w:autoSpaceDN/>
        <w:snapToGrid w:val="0"/>
        <w:spacing w:line="360" w:lineRule="auto"/>
        <w:jc w:val="both"/>
        <w:textAlignment w:val="center"/>
        <w:rPr>
          <w:rFonts w:ascii="宋体" w:hAnsi="宋体" w:eastAsia="宋体"/>
        </w:rPr>
      </w:pPr>
      <w:r>
        <w:rPr>
          <w:rFonts w:hint="eastAsia" w:ascii="宋体" w:hAnsi="宋体" w:eastAsia="宋体"/>
          <w:u w:val="single"/>
        </w:rPr>
        <w:t xml:space="preserve">                  </w:t>
      </w:r>
      <w:r>
        <w:rPr>
          <w:rFonts w:hint="eastAsia" w:ascii="宋体" w:hAnsi="宋体" w:eastAsia="宋体"/>
        </w:rPr>
        <w:t>（招标人名称）：</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一．我方已仔细研究了</w:t>
      </w:r>
      <w:r>
        <w:rPr>
          <w:rFonts w:ascii="宋体" w:hAnsi="宋体" w:eastAsia="宋体"/>
        </w:rPr>
        <w:t>_________（项目名称）_________标段</w:t>
      </w:r>
      <w:r>
        <w:rPr>
          <w:rFonts w:hint="eastAsia" w:ascii="宋体" w:hAnsi="宋体" w:eastAsia="宋体"/>
        </w:rPr>
        <w:t>技术</w:t>
      </w:r>
      <w:r>
        <w:rPr>
          <w:rFonts w:ascii="宋体" w:hAnsi="宋体" w:eastAsia="宋体"/>
        </w:rPr>
        <w:t>服务招标项目招标文件的全部内容，</w:t>
      </w:r>
      <w:r>
        <w:rPr>
          <w:rFonts w:hint="eastAsia" w:ascii="time" w:hAnsi="time" w:eastAsia="宋体"/>
        </w:rPr>
        <w:t>本项目投标报价</w:t>
      </w:r>
      <w:r>
        <w:rPr>
          <w:rFonts w:hint="eastAsia" w:ascii="宋体" w:hAnsi="宋体" w:eastAsia="宋体"/>
        </w:rPr>
        <w:t>为人民币</w:t>
      </w:r>
      <w:r>
        <w:rPr>
          <w:rFonts w:hint="eastAsia" w:ascii="time" w:hAnsi="time" w:eastAsia="宋体"/>
        </w:rPr>
        <w:t>（小写）</w:t>
      </w:r>
      <w:r>
        <w:rPr>
          <w:rFonts w:hint="eastAsia" w:ascii="time" w:hAnsi="time" w:eastAsia="宋体"/>
          <w:u w:val="single"/>
        </w:rPr>
        <w:t xml:space="preserve">       </w:t>
      </w:r>
      <w:r>
        <w:rPr>
          <w:rFonts w:hint="eastAsia" w:ascii="time" w:hAnsi="time" w:eastAsia="宋体"/>
        </w:rPr>
        <w:t>元（大写：</w:t>
      </w:r>
      <w:r>
        <w:rPr>
          <w:rFonts w:hint="eastAsia" w:ascii="time" w:hAnsi="time" w:eastAsia="宋体"/>
          <w:u w:val="single"/>
        </w:rPr>
        <w:t xml:space="preserve">       </w:t>
      </w:r>
      <w:r>
        <w:rPr>
          <w:rFonts w:hint="eastAsia" w:ascii="time" w:hAnsi="time" w:eastAsia="宋体"/>
        </w:rPr>
        <w:t>）。其中不含税价格为（小写）：</w:t>
      </w:r>
      <w:r>
        <w:rPr>
          <w:rFonts w:hint="eastAsia" w:ascii="time" w:hAnsi="time" w:eastAsia="宋体"/>
          <w:u w:val="single"/>
        </w:rPr>
        <w:t xml:space="preserve">         </w:t>
      </w:r>
      <w:r>
        <w:rPr>
          <w:rFonts w:hint="eastAsia" w:ascii="time" w:hAnsi="time" w:eastAsia="宋体"/>
        </w:rPr>
        <w:t>元，税金为（小写）：</w:t>
      </w:r>
      <w:r>
        <w:rPr>
          <w:rFonts w:hint="eastAsia" w:ascii="time" w:hAnsi="time" w:eastAsia="宋体"/>
          <w:u w:val="single"/>
        </w:rPr>
        <w:t xml:space="preserve">             </w:t>
      </w:r>
      <w:r>
        <w:rPr>
          <w:rFonts w:hint="eastAsia" w:ascii="time" w:hAnsi="time" w:eastAsia="宋体"/>
        </w:rPr>
        <w:t>元。其中税金部分随国家税率调整而调整。</w:t>
      </w:r>
    </w:p>
    <w:p>
      <w:pPr>
        <w:spacing w:line="360" w:lineRule="auto"/>
        <w:ind w:firstLine="600" w:firstLineChars="250"/>
        <w:rPr>
          <w:rFonts w:ascii="宋体" w:hAnsi="宋体" w:eastAsia="宋体" w:cs="宋体"/>
        </w:rPr>
      </w:pPr>
      <w:r>
        <w:rPr>
          <w:rFonts w:hint="eastAsia" w:ascii="宋体" w:hAnsi="宋体" w:eastAsia="宋体" w:cs="宋体"/>
        </w:rPr>
        <w:t>二、一旦我方中标，我方将严格履行合同规定的责任和义务，保证于合同签字生效后在</w:t>
      </w:r>
      <w:r>
        <w:rPr>
          <w:rFonts w:hint="eastAsia" w:ascii="宋体" w:hAnsi="宋体" w:eastAsia="宋体" w:cs="宋体"/>
          <w:u w:val="single"/>
        </w:rPr>
        <w:t xml:space="preserve">         </w:t>
      </w:r>
      <w:r>
        <w:rPr>
          <w:rFonts w:hint="eastAsia" w:ascii="宋体" w:hAnsi="宋体" w:eastAsia="宋体" w:cs="宋体"/>
        </w:rPr>
        <w:t>完成本项目全部工作。</w:t>
      </w:r>
    </w:p>
    <w:p>
      <w:pPr>
        <w:spacing w:line="360" w:lineRule="auto"/>
        <w:ind w:firstLine="600" w:firstLineChars="250"/>
        <w:rPr>
          <w:rFonts w:ascii="宋体" w:hAnsi="宋体" w:eastAsia="宋体" w:cs="宋体"/>
        </w:rPr>
      </w:pPr>
      <w:r>
        <w:rPr>
          <w:rFonts w:hint="eastAsia" w:ascii="宋体" w:hAnsi="宋体" w:eastAsia="宋体" w:cs="宋体"/>
        </w:rPr>
        <w:t>三、我方为本项目提交的投标文件正本</w:t>
      </w:r>
      <w:r>
        <w:rPr>
          <w:rFonts w:hint="eastAsia" w:ascii="宋体" w:hAnsi="宋体" w:eastAsia="宋体" w:cs="宋体"/>
          <w:u w:val="single"/>
        </w:rPr>
        <w:t>1</w:t>
      </w:r>
      <w:r>
        <w:rPr>
          <w:rFonts w:hint="eastAsia" w:ascii="宋体" w:hAnsi="宋体" w:eastAsia="宋体" w:cs="宋体"/>
        </w:rPr>
        <w:t>份，副本</w:t>
      </w:r>
      <w:r>
        <w:rPr>
          <w:rFonts w:hint="eastAsia" w:ascii="宋体" w:hAnsi="宋体" w:eastAsia="宋体" w:cs="宋体"/>
          <w:u w:val="single"/>
        </w:rPr>
        <w:t xml:space="preserve"> 2 </w:t>
      </w:r>
      <w:r>
        <w:rPr>
          <w:rFonts w:hint="eastAsia" w:ascii="宋体" w:hAnsi="宋体" w:eastAsia="宋体" w:cs="宋体"/>
        </w:rPr>
        <w:t>份。</w:t>
      </w:r>
    </w:p>
    <w:p>
      <w:pPr>
        <w:spacing w:line="360" w:lineRule="auto"/>
        <w:ind w:firstLine="600" w:firstLineChars="250"/>
        <w:rPr>
          <w:rFonts w:ascii="宋体" w:hAnsi="宋体" w:eastAsia="宋体" w:cs="宋体"/>
        </w:rPr>
      </w:pPr>
      <w:r>
        <w:rPr>
          <w:rFonts w:hint="eastAsia" w:ascii="宋体" w:hAnsi="宋体" w:eastAsia="宋体" w:cs="宋体"/>
        </w:rPr>
        <w:t>四、我方承诺，投标有效期为招标截止日期后</w:t>
      </w:r>
      <w:r>
        <w:rPr>
          <w:rFonts w:hint="eastAsia" w:ascii="宋体" w:hAnsi="宋体" w:eastAsia="宋体" w:cs="宋体"/>
          <w:u w:val="single"/>
        </w:rPr>
        <w:t xml:space="preserve"> 60 </w:t>
      </w:r>
      <w:r>
        <w:rPr>
          <w:rFonts w:hint="eastAsia" w:ascii="宋体" w:hAnsi="宋体" w:eastAsia="宋体" w:cs="宋体"/>
        </w:rPr>
        <w:t>个日历天内有效。</w:t>
      </w:r>
    </w:p>
    <w:p>
      <w:pPr>
        <w:spacing w:line="360" w:lineRule="auto"/>
        <w:ind w:firstLine="600" w:firstLineChars="250"/>
        <w:rPr>
          <w:rFonts w:ascii="宋体" w:hAnsi="宋体" w:eastAsia="宋体" w:cs="宋体"/>
        </w:rPr>
      </w:pPr>
      <w:r>
        <w:rPr>
          <w:rFonts w:hint="eastAsia" w:ascii="宋体" w:hAnsi="宋体" w:eastAsia="宋体" w:cs="宋体"/>
        </w:rPr>
        <w:t>五、我方愿意提供招标人可能另外要求的，与招标有关的文件资料，并保证我方已提供和将要提供的文件资料是真实、准确的。</w:t>
      </w:r>
    </w:p>
    <w:p>
      <w:pPr>
        <w:spacing w:line="360" w:lineRule="auto"/>
        <w:ind w:firstLine="604" w:firstLineChars="252"/>
        <w:rPr>
          <w:rFonts w:ascii="宋体" w:hAnsi="宋体" w:eastAsia="宋体" w:cs="宋体"/>
        </w:rPr>
      </w:pPr>
      <w:r>
        <w:rPr>
          <w:rFonts w:hint="eastAsia" w:ascii="宋体" w:hAnsi="宋体" w:eastAsia="宋体" w:cs="宋体"/>
        </w:rPr>
        <w:t>六、本投标人知道并同意：如果接到中标通知书后未按招标人要求的时间签订正式合同或坚持提出附加条件，招标人有权选择其他投标人为中标人。</w:t>
      </w:r>
    </w:p>
    <w:p>
      <w:pPr>
        <w:spacing w:line="360" w:lineRule="auto"/>
        <w:ind w:firstLine="636" w:firstLineChars="265"/>
        <w:rPr>
          <w:rFonts w:ascii="宋体" w:hAnsi="宋体" w:eastAsia="宋体" w:cs="宋体"/>
        </w:rPr>
      </w:pPr>
      <w:r>
        <w:rPr>
          <w:rFonts w:hint="eastAsia" w:ascii="宋体" w:hAnsi="宋体" w:eastAsia="宋体" w:cs="宋体"/>
        </w:rPr>
        <w:t>七、本投标人知道并同意，招标人并无义务必须接受所收到的价格最低的或其他任何投标文件。同时也理解，招标人不负担本投标人的任何参与投标费用。</w:t>
      </w:r>
    </w:p>
    <w:p>
      <w:pPr>
        <w:spacing w:line="360" w:lineRule="auto"/>
        <w:ind w:firstLine="660" w:firstLineChars="275"/>
        <w:rPr>
          <w:rFonts w:ascii="宋体" w:hAnsi="宋体" w:eastAsia="宋体" w:cs="宋体"/>
        </w:rPr>
      </w:pPr>
      <w:r>
        <w:rPr>
          <w:rFonts w:hint="eastAsia" w:ascii="宋体" w:hAnsi="宋体" w:eastAsia="宋体" w:cs="宋体"/>
        </w:rPr>
        <w:t>八、本投标人郑重承诺：按招标人要求做好后期服务。</w:t>
      </w:r>
    </w:p>
    <w:p>
      <w:pPr>
        <w:spacing w:line="360" w:lineRule="auto"/>
        <w:ind w:firstLine="2880" w:firstLineChars="1200"/>
        <w:rPr>
          <w:rFonts w:ascii="宋体" w:hAnsi="宋体" w:eastAsia="宋体" w:cs="宋体"/>
        </w:rPr>
      </w:pPr>
    </w:p>
    <w:p>
      <w:pPr>
        <w:spacing w:line="360" w:lineRule="auto"/>
        <w:ind w:left="2880" w:leftChars="1200"/>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 xml:space="preserve">                            </w:t>
      </w:r>
      <w:r>
        <w:rPr>
          <w:rFonts w:hint="eastAsia" w:ascii="宋体" w:hAnsi="宋体" w:eastAsia="宋体" w:cs="宋体"/>
        </w:rPr>
        <w:t>（单位盖章）</w:t>
      </w:r>
    </w:p>
    <w:p>
      <w:pPr>
        <w:spacing w:line="360" w:lineRule="auto"/>
        <w:ind w:left="2880" w:leftChars="1200"/>
        <w:rPr>
          <w:rFonts w:ascii="宋体" w:hAnsi="宋体" w:eastAsia="宋体" w:cs="宋体"/>
        </w:rPr>
      </w:pPr>
      <w:r>
        <w:rPr>
          <w:rFonts w:hint="eastAsia" w:ascii="宋体" w:hAnsi="宋体" w:eastAsia="宋体" w:cs="宋体"/>
        </w:rPr>
        <w:t>法人代表人或其委托代理人：</w:t>
      </w:r>
      <w:r>
        <w:rPr>
          <w:rFonts w:hint="eastAsia" w:ascii="宋体" w:hAnsi="宋体" w:eastAsia="宋体" w:cs="宋体"/>
          <w:u w:val="single"/>
        </w:rPr>
        <w:t xml:space="preserve">              </w:t>
      </w:r>
      <w:r>
        <w:rPr>
          <w:rFonts w:hint="eastAsia" w:ascii="宋体" w:hAnsi="宋体" w:eastAsia="宋体" w:cs="宋体"/>
        </w:rPr>
        <w:t>（签字）</w:t>
      </w:r>
    </w:p>
    <w:p>
      <w:pPr>
        <w:spacing w:line="360" w:lineRule="auto"/>
        <w:ind w:left="2880" w:leftChars="1200"/>
        <w:rPr>
          <w:rFonts w:ascii="宋体" w:hAnsi="宋体" w:eastAsia="宋体" w:cs="宋体"/>
        </w:rPr>
      </w:pPr>
      <w:r>
        <w:rPr>
          <w:rFonts w:hint="eastAsia" w:ascii="宋体" w:hAnsi="宋体" w:eastAsia="宋体" w:cs="宋体"/>
        </w:rPr>
        <w:t>通讯地址：</w:t>
      </w:r>
      <w:r>
        <w:rPr>
          <w:rFonts w:hint="eastAsia" w:ascii="宋体" w:hAnsi="宋体" w:eastAsia="宋体" w:cs="宋体"/>
          <w:u w:val="single"/>
        </w:rPr>
        <w:t xml:space="preserve">                              </w:t>
      </w:r>
      <w:r>
        <w:rPr>
          <w:rFonts w:hint="eastAsia" w:ascii="宋体" w:hAnsi="宋体" w:eastAsia="宋体" w:cs="宋体"/>
        </w:rPr>
        <w:t xml:space="preserve"> </w:t>
      </w:r>
    </w:p>
    <w:p>
      <w:pPr>
        <w:spacing w:line="360" w:lineRule="auto"/>
        <w:ind w:left="2880" w:leftChars="1200"/>
        <w:rPr>
          <w:rFonts w:ascii="宋体" w:hAnsi="宋体" w:eastAsia="宋体" w:cs="宋体"/>
        </w:rPr>
      </w:pPr>
      <w:r>
        <w:rPr>
          <w:rFonts w:hint="eastAsia" w:ascii="宋体" w:hAnsi="宋体" w:eastAsia="宋体" w:cs="宋体"/>
        </w:rPr>
        <w:t>邮政编码：</w:t>
      </w:r>
      <w:r>
        <w:rPr>
          <w:rFonts w:hint="eastAsia" w:ascii="宋体" w:hAnsi="宋体" w:eastAsia="宋体" w:cs="宋体"/>
          <w:u w:val="single"/>
        </w:rPr>
        <w:t xml:space="preserve">                              </w:t>
      </w:r>
    </w:p>
    <w:p>
      <w:pPr>
        <w:spacing w:line="360" w:lineRule="auto"/>
        <w:ind w:left="2880" w:leftChars="1200"/>
        <w:rPr>
          <w:rFonts w:ascii="宋体" w:hAnsi="宋体" w:eastAsia="宋体" w:cs="宋体"/>
        </w:rPr>
      </w:pPr>
      <w:r>
        <w:rPr>
          <w:rFonts w:hint="eastAsia" w:ascii="宋体" w:hAnsi="宋体" w:eastAsia="宋体" w:cs="宋体"/>
        </w:rPr>
        <w:t>联系电话：</w:t>
      </w:r>
      <w:r>
        <w:rPr>
          <w:rFonts w:hint="eastAsia" w:ascii="宋体" w:hAnsi="宋体" w:eastAsia="宋体" w:cs="宋体"/>
          <w:u w:val="single"/>
        </w:rPr>
        <w:t xml:space="preserve">                              </w:t>
      </w:r>
    </w:p>
    <w:p>
      <w:pPr>
        <w:spacing w:line="360" w:lineRule="auto"/>
        <w:ind w:left="2880" w:leftChars="1200"/>
        <w:rPr>
          <w:rFonts w:ascii="宋体" w:hAnsi="宋体" w:eastAsia="宋体" w:cs="宋体"/>
        </w:rPr>
      </w:pPr>
      <w:r>
        <w:rPr>
          <w:rFonts w:hint="eastAsia" w:ascii="宋体" w:hAnsi="宋体" w:eastAsia="宋体" w:cs="宋体"/>
        </w:rPr>
        <w:t>传    真：</w:t>
      </w:r>
      <w:r>
        <w:rPr>
          <w:rFonts w:hint="eastAsia" w:ascii="宋体" w:hAnsi="宋体" w:eastAsia="宋体" w:cs="宋体"/>
          <w:u w:val="single"/>
        </w:rPr>
        <w:t xml:space="preserve">                              </w:t>
      </w:r>
    </w:p>
    <w:p>
      <w:pPr>
        <w:spacing w:line="360" w:lineRule="auto"/>
        <w:ind w:left="2880" w:leftChars="1200"/>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topLinePunct/>
        <w:autoSpaceDE/>
        <w:autoSpaceDN/>
        <w:snapToGrid w:val="0"/>
        <w:spacing w:line="360" w:lineRule="auto"/>
        <w:ind w:firstLine="480" w:firstLineChars="200"/>
        <w:jc w:val="both"/>
        <w:textAlignment w:val="center"/>
        <w:rPr>
          <w:rFonts w:ascii="宋体" w:hAnsi="宋体" w:eastAsia="宋体"/>
        </w:rPr>
      </w:pPr>
    </w:p>
    <w:p>
      <w:pPr>
        <w:topLinePunct/>
        <w:autoSpaceDE/>
        <w:autoSpaceDN/>
        <w:snapToGrid w:val="0"/>
        <w:spacing w:line="360" w:lineRule="auto"/>
        <w:ind w:firstLine="480" w:firstLineChars="200"/>
        <w:jc w:val="both"/>
        <w:textAlignment w:val="center"/>
        <w:rPr>
          <w:rFonts w:ascii="宋体" w:hAnsi="宋体" w:eastAsia="宋体"/>
        </w:rPr>
        <w:sectPr>
          <w:pgSz w:w="11907" w:h="16840"/>
          <w:pgMar w:top="1440" w:right="1440" w:bottom="1440" w:left="1440" w:header="992" w:footer="992" w:gutter="0"/>
          <w:cols w:equalWidth="0" w:num="1">
            <w:col w:w="9080"/>
          </w:cols>
        </w:sectPr>
      </w:pPr>
    </w:p>
    <w:p>
      <w:pPr>
        <w:topLinePunct/>
        <w:autoSpaceDE/>
        <w:autoSpaceDN/>
        <w:snapToGrid w:val="0"/>
        <w:spacing w:line="360" w:lineRule="auto"/>
        <w:jc w:val="center"/>
        <w:textAlignment w:val="center"/>
        <w:rPr>
          <w:rFonts w:ascii="宋体" w:hAnsi="宋体" w:eastAsia="宋体"/>
          <w:b/>
          <w:bCs/>
          <w:sz w:val="28"/>
        </w:rPr>
      </w:pPr>
    </w:p>
    <w:p>
      <w:pPr>
        <w:topLinePunct/>
        <w:autoSpaceDE/>
        <w:autoSpaceDN/>
        <w:snapToGrid w:val="0"/>
        <w:spacing w:line="360" w:lineRule="auto"/>
        <w:jc w:val="center"/>
        <w:textAlignment w:val="center"/>
        <w:rPr>
          <w:rFonts w:ascii="宋体" w:hAnsi="宋体" w:eastAsia="宋体"/>
          <w:b/>
          <w:bCs/>
          <w:sz w:val="28"/>
        </w:rPr>
      </w:pPr>
      <w:r>
        <w:rPr>
          <w:rFonts w:hint="eastAsia" w:ascii="宋体" w:hAnsi="宋体" w:eastAsia="宋体"/>
          <w:b/>
          <w:bCs/>
          <w:sz w:val="28"/>
        </w:rPr>
        <w:t>二、法定代表人身份证明</w:t>
      </w:r>
    </w:p>
    <w:p>
      <w:pPr>
        <w:spacing w:line="440" w:lineRule="exact"/>
        <w:rPr>
          <w:rFonts w:ascii="宋体" w:hAnsi="宋体" w:eastAsia="宋体" w:cs="宋体"/>
        </w:rPr>
      </w:pPr>
      <w:r>
        <w:rPr>
          <w:rFonts w:hint="eastAsia" w:ascii="宋体" w:hAnsi="宋体" w:eastAsia="宋体" w:cs="宋体"/>
        </w:rPr>
        <w:t>单位名称：</w:t>
      </w:r>
      <w:r>
        <w:rPr>
          <w:rFonts w:hint="eastAsia" w:ascii="宋体" w:hAnsi="宋体" w:eastAsia="宋体" w:cs="宋体"/>
          <w:u w:val="single"/>
        </w:rPr>
        <w:t xml:space="preserve">                            </w:t>
      </w:r>
      <w:r>
        <w:rPr>
          <w:rFonts w:hint="eastAsia" w:ascii="宋体" w:hAnsi="宋体" w:eastAsia="宋体" w:cs="宋体"/>
        </w:rPr>
        <w:t xml:space="preserve"> </w:t>
      </w:r>
    </w:p>
    <w:p>
      <w:pPr>
        <w:spacing w:line="440" w:lineRule="exact"/>
        <w:rPr>
          <w:rFonts w:ascii="宋体" w:hAnsi="宋体" w:eastAsia="宋体" w:cs="宋体"/>
        </w:rPr>
      </w:pPr>
      <w:r>
        <w:rPr>
          <w:rFonts w:hint="eastAsia" w:ascii="宋体" w:hAnsi="宋体" w:eastAsia="宋体" w:cs="宋体"/>
        </w:rPr>
        <w:t>单位性质：</w:t>
      </w:r>
      <w:r>
        <w:rPr>
          <w:rFonts w:hint="eastAsia" w:ascii="宋体" w:hAnsi="宋体" w:eastAsia="宋体" w:cs="宋体"/>
          <w:u w:val="single"/>
        </w:rPr>
        <w:t xml:space="preserve">                               </w:t>
      </w:r>
      <w:r>
        <w:rPr>
          <w:rFonts w:hint="eastAsia" w:ascii="宋体" w:hAnsi="宋体" w:eastAsia="宋体" w:cs="宋体"/>
        </w:rPr>
        <w:t xml:space="preserve"> </w:t>
      </w:r>
    </w:p>
    <w:p>
      <w:pPr>
        <w:spacing w:line="440" w:lineRule="exact"/>
        <w:rPr>
          <w:rFonts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p>
    <w:p>
      <w:pPr>
        <w:spacing w:line="440" w:lineRule="exact"/>
        <w:rPr>
          <w:rFonts w:ascii="宋体" w:hAnsi="宋体" w:eastAsia="宋体" w:cs="宋体"/>
        </w:rPr>
      </w:pPr>
      <w:r>
        <w:rPr>
          <w:rFonts w:hint="eastAsia" w:ascii="宋体" w:hAnsi="宋体" w:eastAsia="宋体" w:cs="宋体"/>
        </w:rPr>
        <w:t>成立时间：</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spacing w:line="440" w:lineRule="exact"/>
        <w:rPr>
          <w:rFonts w:ascii="宋体" w:hAnsi="宋体" w:eastAsia="宋体" w:cs="宋体"/>
        </w:rPr>
      </w:pPr>
      <w:r>
        <w:rPr>
          <w:rFonts w:hint="eastAsia" w:ascii="宋体" w:hAnsi="宋体" w:eastAsia="宋体" w:cs="宋体"/>
        </w:rPr>
        <w:t>经营期限：</w:t>
      </w:r>
      <w:r>
        <w:rPr>
          <w:rFonts w:hint="eastAsia" w:ascii="宋体" w:hAnsi="宋体" w:eastAsia="宋体" w:cs="宋体"/>
          <w:u w:val="single"/>
        </w:rPr>
        <w:t xml:space="preserve">                               </w:t>
      </w:r>
    </w:p>
    <w:p>
      <w:pPr>
        <w:spacing w:line="440" w:lineRule="exact"/>
        <w:rPr>
          <w:rFonts w:ascii="宋体" w:hAnsi="宋体" w:eastAsia="宋体" w:cs="宋体"/>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 xml:space="preserve"> 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职务：</w:t>
      </w:r>
      <w:r>
        <w:rPr>
          <w:rFonts w:hint="eastAsia" w:ascii="宋体" w:hAnsi="宋体" w:eastAsia="宋体" w:cs="宋体"/>
          <w:u w:val="single"/>
        </w:rPr>
        <w:t xml:space="preserve">          </w:t>
      </w:r>
    </w:p>
    <w:p>
      <w:pPr>
        <w:spacing w:line="440" w:lineRule="exact"/>
        <w:rPr>
          <w:rFonts w:ascii="宋体" w:hAnsi="宋体" w:eastAsia="宋体" w:cs="宋体"/>
        </w:rPr>
      </w:pP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rPr>
        <w:t xml:space="preserve"> （投标人名称）的法定代表人。</w:t>
      </w:r>
    </w:p>
    <w:p>
      <w:pPr>
        <w:spacing w:line="440" w:lineRule="exact"/>
        <w:ind w:firstLine="480" w:firstLineChars="200"/>
        <w:rPr>
          <w:rFonts w:ascii="宋体" w:hAnsi="宋体" w:eastAsia="宋体" w:cs="宋体"/>
        </w:rPr>
      </w:pPr>
      <w:r>
        <w:rPr>
          <w:rFonts w:hint="eastAsia" w:ascii="宋体" w:hAnsi="宋体" w:eastAsia="宋体" w:cs="宋体"/>
        </w:rPr>
        <w:t>特此证明。</w:t>
      </w:r>
    </w:p>
    <w:p>
      <w:pPr>
        <w:spacing w:line="440" w:lineRule="exact"/>
        <w:rPr>
          <w:rFonts w:ascii="宋体" w:hAnsi="宋体" w:eastAsia="宋体" w:cs="宋体"/>
        </w:rPr>
      </w:pPr>
    </w:p>
    <w:p>
      <w:pPr>
        <w:spacing w:line="440" w:lineRule="exact"/>
        <w:rPr>
          <w:rFonts w:ascii="宋体" w:hAnsi="宋体" w:eastAsia="宋体" w:cs="宋体"/>
        </w:rPr>
      </w:pPr>
    </w:p>
    <w:p>
      <w:pPr>
        <w:spacing w:line="440" w:lineRule="exact"/>
        <w:jc w:val="right"/>
        <w:rPr>
          <w:rFonts w:ascii="宋体" w:hAnsi="宋体" w:eastAsia="宋体" w:cs="宋体"/>
        </w:rPr>
      </w:pPr>
      <w:r>
        <w:rPr>
          <w:rFonts w:hint="eastAsia" w:ascii="宋体" w:hAnsi="宋体" w:eastAsia="宋体" w:cs="宋体"/>
        </w:rPr>
        <w:t>投 标 人：</w:t>
      </w:r>
      <w:r>
        <w:rPr>
          <w:rFonts w:hint="eastAsia" w:ascii="宋体" w:hAnsi="宋体" w:eastAsia="宋体" w:cs="宋体"/>
          <w:u w:val="single"/>
        </w:rPr>
        <w:t xml:space="preserve">                 </w:t>
      </w:r>
      <w:r>
        <w:rPr>
          <w:rFonts w:hint="eastAsia" w:ascii="宋体" w:hAnsi="宋体" w:eastAsia="宋体" w:cs="宋体"/>
        </w:rPr>
        <w:t>（盖单位章）</w:t>
      </w:r>
    </w:p>
    <w:p>
      <w:pPr>
        <w:spacing w:line="440" w:lineRule="exact"/>
        <w:ind w:right="1877" w:rightChars="782"/>
        <w:jc w:val="right"/>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 xml:space="preserve">日 </w:t>
      </w:r>
    </w:p>
    <w:p>
      <w:pPr>
        <w:topLinePunct/>
        <w:autoSpaceDE/>
        <w:autoSpaceDN/>
        <w:snapToGrid w:val="0"/>
        <w:spacing w:line="360" w:lineRule="auto"/>
        <w:ind w:firstLine="480" w:firstLineChars="200"/>
        <w:jc w:val="both"/>
        <w:textAlignment w:val="center"/>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注：（</w:t>
      </w:r>
      <w:r>
        <w:rPr>
          <w:rFonts w:ascii="宋体" w:hAnsi="宋体" w:eastAsia="宋体"/>
        </w:rPr>
        <w:t>1）法定代表人亲自投标而不委托代理人投标适用。</w:t>
      </w:r>
    </w:p>
    <w:p>
      <w:pPr>
        <w:topLinePunct/>
        <w:autoSpaceDE/>
        <w:autoSpaceDN/>
        <w:snapToGrid w:val="0"/>
        <w:spacing w:line="360" w:lineRule="auto"/>
        <w:ind w:firstLine="1080" w:firstLineChars="450"/>
        <w:jc w:val="both"/>
        <w:textAlignment w:val="center"/>
        <w:rPr>
          <w:rFonts w:ascii="宋体" w:hAnsi="宋体" w:eastAsia="宋体"/>
        </w:rPr>
      </w:pPr>
      <w:r>
        <w:rPr>
          <w:rFonts w:hint="eastAsia" w:ascii="宋体" w:hAnsi="宋体" w:eastAsia="宋体"/>
        </w:rPr>
        <w:t>（</w:t>
      </w:r>
      <w:r>
        <w:rPr>
          <w:rFonts w:ascii="宋体" w:hAnsi="宋体" w:eastAsia="宋体"/>
        </w:rPr>
        <w:t>2）本身份证明需由投标人加盖单位公章。</w:t>
      </w:r>
    </w:p>
    <w:p>
      <w:pPr>
        <w:topLinePunct/>
        <w:autoSpaceDE/>
        <w:autoSpaceDN/>
        <w:snapToGrid w:val="0"/>
        <w:spacing w:line="360" w:lineRule="auto"/>
        <w:ind w:firstLine="480" w:firstLineChars="200"/>
        <w:jc w:val="both"/>
        <w:textAlignment w:val="center"/>
        <w:rPr>
          <w:rFonts w:ascii="宋体" w:hAnsi="宋体" w:eastAsia="宋体"/>
        </w:rPr>
      </w:pPr>
    </w:p>
    <w:p>
      <w:pPr>
        <w:topLinePunct/>
        <w:autoSpaceDE/>
        <w:autoSpaceDN/>
        <w:snapToGrid w:val="0"/>
        <w:spacing w:line="360" w:lineRule="auto"/>
        <w:ind w:firstLine="480" w:firstLineChars="200"/>
        <w:jc w:val="both"/>
        <w:textAlignment w:val="center"/>
        <w:rPr>
          <w:rFonts w:ascii="宋体" w:hAnsi="宋体" w:eastAsia="宋体"/>
        </w:rPr>
        <w:sectPr>
          <w:pgSz w:w="11907" w:h="16840"/>
          <w:pgMar w:top="1440" w:right="1440" w:bottom="1440" w:left="1440" w:header="992" w:footer="992" w:gutter="0"/>
          <w:cols w:equalWidth="0" w:num="1">
            <w:col w:w="9100"/>
          </w:cols>
        </w:sectPr>
      </w:pPr>
    </w:p>
    <w:p>
      <w:pPr>
        <w:topLinePunct/>
        <w:autoSpaceDE/>
        <w:autoSpaceDN/>
        <w:snapToGrid w:val="0"/>
        <w:spacing w:line="360" w:lineRule="auto"/>
        <w:jc w:val="center"/>
        <w:textAlignment w:val="center"/>
        <w:rPr>
          <w:rFonts w:ascii="宋体" w:hAnsi="宋体" w:eastAsia="宋体"/>
          <w:b/>
          <w:bCs/>
          <w:sz w:val="28"/>
          <w:szCs w:val="21"/>
        </w:rPr>
      </w:pPr>
    </w:p>
    <w:p>
      <w:pPr>
        <w:numPr>
          <w:ilvl w:val="0"/>
          <w:numId w:val="3"/>
        </w:numPr>
        <w:topLinePunct/>
        <w:autoSpaceDE/>
        <w:autoSpaceDN/>
        <w:snapToGrid w:val="0"/>
        <w:spacing w:line="360" w:lineRule="auto"/>
        <w:jc w:val="center"/>
        <w:textAlignment w:val="center"/>
        <w:rPr>
          <w:rFonts w:ascii="宋体" w:hAnsi="宋体" w:eastAsia="宋体"/>
          <w:b/>
          <w:bCs/>
          <w:sz w:val="28"/>
        </w:rPr>
      </w:pPr>
      <w:r>
        <w:rPr>
          <w:rFonts w:hint="eastAsia" w:ascii="宋体" w:hAnsi="宋体" w:eastAsia="宋体"/>
          <w:b/>
          <w:bCs/>
          <w:sz w:val="28"/>
        </w:rPr>
        <w:t>授权委托书</w:t>
      </w:r>
    </w:p>
    <w:p>
      <w:pPr>
        <w:snapToGrid w:val="0"/>
        <w:spacing w:line="360" w:lineRule="auto"/>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rPr>
        <w:t>（招标人名称）：</w:t>
      </w:r>
    </w:p>
    <w:p>
      <w:pPr>
        <w:snapToGrid w:val="0"/>
        <w:spacing w:line="360" w:lineRule="auto"/>
        <w:ind w:firstLine="480" w:firstLineChars="200"/>
        <w:rPr>
          <w:rFonts w:ascii="宋体" w:hAnsi="宋体" w:eastAsia="宋体" w:cs="宋体"/>
        </w:rPr>
      </w:pPr>
      <w:r>
        <w:rPr>
          <w:rFonts w:hint="eastAsia" w:ascii="宋体" w:hAnsi="宋体" w:eastAsia="宋体" w:cs="宋体"/>
        </w:rPr>
        <w:t>本人</w:t>
      </w:r>
      <w:r>
        <w:rPr>
          <w:rFonts w:hint="eastAsia" w:ascii="宋体" w:hAnsi="宋体" w:eastAsia="宋体" w:cs="宋体"/>
          <w:u w:val="single"/>
        </w:rPr>
        <w:t xml:space="preserve">  （姓名） </w:t>
      </w:r>
      <w:r>
        <w:rPr>
          <w:rFonts w:hint="eastAsia" w:ascii="宋体" w:hAnsi="宋体" w:eastAsia="宋体" w:cs="宋体"/>
        </w:rPr>
        <w:t>系</w:t>
      </w:r>
      <w:r>
        <w:rPr>
          <w:rFonts w:hint="eastAsia" w:ascii="宋体" w:hAnsi="宋体" w:eastAsia="宋体" w:cs="宋体"/>
          <w:u w:val="single"/>
        </w:rPr>
        <w:t xml:space="preserve"> （投标人全称）</w:t>
      </w:r>
      <w:r>
        <w:rPr>
          <w:rFonts w:hint="eastAsia" w:ascii="宋体" w:hAnsi="宋体" w:eastAsia="宋体" w:cs="宋体"/>
        </w:rPr>
        <w:t>的法定代表人，现授权委托</w:t>
      </w:r>
      <w:r>
        <w:rPr>
          <w:rFonts w:hint="eastAsia" w:ascii="宋体" w:hAnsi="宋体" w:eastAsia="宋体" w:cs="宋体"/>
          <w:u w:val="single"/>
        </w:rPr>
        <w:t xml:space="preserve">  （被委托人姓名、职务）</w:t>
      </w:r>
      <w:r>
        <w:rPr>
          <w:rFonts w:hint="eastAsia" w:ascii="宋体" w:hAnsi="宋体" w:eastAsia="宋体" w:cs="宋体"/>
        </w:rPr>
        <w:t>为我公司代理人，以本公司的名义参加</w:t>
      </w:r>
      <w:r>
        <w:rPr>
          <w:rFonts w:hint="eastAsia" w:ascii="宋体" w:hAnsi="宋体" w:eastAsia="宋体" w:cs="宋体"/>
          <w:u w:val="single"/>
        </w:rPr>
        <w:t>金沙江金沙水电站竣工环境保护验收及陆生生态调查技术服务</w:t>
      </w:r>
      <w:r>
        <w:rPr>
          <w:rFonts w:hint="eastAsia" w:ascii="宋体" w:hAnsi="宋体" w:eastAsia="宋体" w:cs="宋体"/>
        </w:rPr>
        <w:t>投标活动。代理人在投标活动过程中所签署的一切文件和处理与之有关的一切事务，均为代表本公司的行为，与本人的行为具有同等法律效力。本公司将承担代理人行为的一切法律责任和后果。</w:t>
      </w:r>
    </w:p>
    <w:p>
      <w:pPr>
        <w:snapToGrid w:val="0"/>
        <w:spacing w:line="360" w:lineRule="auto"/>
        <w:ind w:firstLine="480" w:firstLineChars="200"/>
        <w:rPr>
          <w:rFonts w:ascii="宋体" w:hAnsi="宋体" w:eastAsia="宋体" w:cs="宋体"/>
        </w:rPr>
      </w:pPr>
      <w:r>
        <w:rPr>
          <w:rFonts w:hint="eastAsia" w:ascii="宋体" w:hAnsi="宋体" w:eastAsia="宋体" w:cs="宋体"/>
        </w:rPr>
        <w:t>委托期限：自本授权委托书签署之日起至第二章“投标须知”前附表12条规定的“投标有效期”结束为止。</w:t>
      </w:r>
    </w:p>
    <w:p>
      <w:pPr>
        <w:snapToGrid w:val="0"/>
        <w:spacing w:line="360" w:lineRule="auto"/>
        <w:ind w:firstLine="480" w:firstLineChars="200"/>
        <w:rPr>
          <w:rFonts w:ascii="宋体" w:hAnsi="宋体" w:eastAsia="宋体" w:cs="宋体"/>
        </w:rPr>
      </w:pPr>
      <w:r>
        <w:rPr>
          <w:rFonts w:hint="eastAsia" w:ascii="宋体" w:hAnsi="宋体" w:eastAsia="宋体" w:cs="宋体"/>
        </w:rPr>
        <w:t>代理人无转委托权，特此委托。</w:t>
      </w:r>
    </w:p>
    <w:p>
      <w:pPr>
        <w:snapToGrid w:val="0"/>
        <w:spacing w:line="360" w:lineRule="auto"/>
        <w:ind w:firstLine="2880" w:firstLineChars="1200"/>
        <w:rPr>
          <w:rFonts w:ascii="宋体" w:hAnsi="宋体" w:eastAsia="宋体" w:cs="宋体"/>
        </w:rPr>
      </w:pPr>
    </w:p>
    <w:p>
      <w:pPr>
        <w:snapToGrid w:val="0"/>
        <w:spacing w:line="360" w:lineRule="auto"/>
        <w:ind w:firstLine="2880" w:firstLineChars="1200"/>
        <w:rPr>
          <w:rFonts w:ascii="宋体" w:hAnsi="宋体" w:eastAsia="宋体" w:cs="宋体"/>
        </w:rPr>
      </w:pPr>
      <w:r>
        <w:rPr>
          <w:rFonts w:hint="eastAsia" w:ascii="宋体" w:hAnsi="宋体" w:eastAsia="宋体" w:cs="宋体"/>
        </w:rPr>
        <w:t>委托代理人：</w:t>
      </w:r>
      <w:r>
        <w:rPr>
          <w:rFonts w:hint="eastAsia" w:ascii="宋体" w:hAnsi="宋体" w:eastAsia="宋体" w:cs="宋体"/>
          <w:u w:val="single"/>
        </w:rPr>
        <w:t xml:space="preserve">                        </w:t>
      </w:r>
      <w:r>
        <w:rPr>
          <w:rFonts w:hint="eastAsia" w:ascii="宋体" w:hAnsi="宋体" w:eastAsia="宋体" w:cs="宋体"/>
        </w:rPr>
        <w:t xml:space="preserve">（签字） </w:t>
      </w:r>
    </w:p>
    <w:p>
      <w:pPr>
        <w:snapToGrid w:val="0"/>
        <w:spacing w:line="360" w:lineRule="auto"/>
        <w:ind w:firstLine="2880" w:firstLineChars="1200"/>
        <w:rPr>
          <w:rFonts w:ascii="宋体" w:hAnsi="宋体" w:eastAsia="宋体" w:cs="宋体"/>
        </w:rPr>
      </w:pPr>
      <w:r>
        <w:rPr>
          <w:rFonts w:hint="eastAsia" w:ascii="宋体" w:hAnsi="宋体" w:eastAsia="宋体" w:cs="宋体"/>
        </w:rPr>
        <w:t>身份证号码：</w:t>
      </w:r>
      <w:r>
        <w:rPr>
          <w:rFonts w:hint="eastAsia" w:ascii="宋体" w:hAnsi="宋体" w:eastAsia="宋体" w:cs="宋体"/>
          <w:u w:val="single"/>
        </w:rPr>
        <w:t xml:space="preserve">                        </w:t>
      </w:r>
    </w:p>
    <w:p>
      <w:pPr>
        <w:snapToGrid w:val="0"/>
        <w:spacing w:line="360" w:lineRule="auto"/>
        <w:ind w:firstLine="2880" w:firstLineChars="1200"/>
        <w:rPr>
          <w:rFonts w:ascii="宋体" w:hAnsi="宋体" w:eastAsia="宋体" w:cs="宋体"/>
          <w:u w:val="single"/>
        </w:rPr>
      </w:pPr>
      <w:r>
        <w:rPr>
          <w:rFonts w:hint="eastAsia" w:ascii="宋体" w:hAnsi="宋体" w:eastAsia="宋体" w:cs="宋体"/>
        </w:rPr>
        <w:t>投标人：</w:t>
      </w:r>
      <w:r>
        <w:rPr>
          <w:rFonts w:hint="eastAsia" w:ascii="宋体" w:hAnsi="宋体" w:eastAsia="宋体" w:cs="宋体"/>
          <w:u w:val="single"/>
        </w:rPr>
        <w:t xml:space="preserve">                        </w:t>
      </w:r>
      <w:r>
        <w:rPr>
          <w:rFonts w:hint="eastAsia" w:ascii="宋体" w:hAnsi="宋体" w:eastAsia="宋体" w:cs="宋体"/>
        </w:rPr>
        <w:t xml:space="preserve">（盖章） </w:t>
      </w:r>
    </w:p>
    <w:p>
      <w:pPr>
        <w:snapToGrid w:val="0"/>
        <w:spacing w:line="360" w:lineRule="auto"/>
        <w:ind w:firstLine="2880" w:firstLineChars="1200"/>
        <w:rPr>
          <w:rFonts w:ascii="宋体" w:hAnsi="宋体" w:eastAsia="宋体" w:cs="宋体"/>
          <w:u w:val="single"/>
        </w:rPr>
      </w:pPr>
      <w:r>
        <w:rPr>
          <w:rFonts w:hint="eastAsia" w:ascii="宋体" w:hAnsi="宋体" w:eastAsia="宋体" w:cs="宋体"/>
        </w:rPr>
        <w:t>法定代表人：</w:t>
      </w:r>
      <w:r>
        <w:rPr>
          <w:rFonts w:hint="eastAsia" w:ascii="宋体" w:hAnsi="宋体" w:eastAsia="宋体" w:cs="宋体"/>
          <w:u w:val="single"/>
        </w:rPr>
        <w:t xml:space="preserve">                        </w:t>
      </w:r>
      <w:r>
        <w:rPr>
          <w:rFonts w:hint="eastAsia" w:ascii="宋体" w:hAnsi="宋体" w:eastAsia="宋体" w:cs="宋体"/>
        </w:rPr>
        <w:t xml:space="preserve">（签字或盖章） </w:t>
      </w:r>
    </w:p>
    <w:p>
      <w:pPr>
        <w:snapToGrid w:val="0"/>
        <w:spacing w:line="360" w:lineRule="auto"/>
        <w:ind w:firstLine="2880" w:firstLineChars="1200"/>
        <w:rPr>
          <w:rFonts w:ascii="宋体" w:hAnsi="宋体" w:eastAsia="宋体" w:cs="宋体"/>
        </w:rPr>
      </w:pPr>
      <w:r>
        <w:rPr>
          <w:rFonts w:hint="eastAsia" w:ascii="宋体" w:hAnsi="宋体" w:eastAsia="宋体" w:cs="宋体"/>
        </w:rPr>
        <w:t>授权委托日期：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 xml:space="preserve">月 </w:t>
      </w:r>
      <w:r>
        <w:rPr>
          <w:rFonts w:hint="eastAsia" w:ascii="宋体" w:hAnsi="宋体" w:eastAsia="宋体" w:cs="宋体"/>
          <w:u w:val="single"/>
        </w:rPr>
        <w:t xml:space="preserve">     </w:t>
      </w:r>
      <w:r>
        <w:rPr>
          <w:rFonts w:hint="eastAsia" w:ascii="宋体" w:hAnsi="宋体" w:eastAsia="宋体" w:cs="宋体"/>
        </w:rPr>
        <w:t>日</w:t>
      </w:r>
    </w:p>
    <w:p>
      <w:pPr>
        <w:pStyle w:val="32"/>
      </w:pPr>
    </w:p>
    <w:p>
      <w:pPr>
        <w:pStyle w:val="2"/>
      </w:pP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附：</w:t>
      </w:r>
    </w:p>
    <w:p>
      <w:pPr>
        <w:topLinePunct/>
        <w:autoSpaceDE/>
        <w:autoSpaceDN/>
        <w:snapToGrid w:val="0"/>
        <w:spacing w:line="360" w:lineRule="auto"/>
        <w:ind w:firstLine="480" w:firstLineChars="200"/>
        <w:jc w:val="both"/>
        <w:textAlignment w:val="center"/>
        <w:rPr>
          <w:rFonts w:ascii="宋体" w:hAnsi="宋体" w:eastAsia="宋体" w:cs="宋体"/>
        </w:rPr>
      </w:pPr>
      <w:r>
        <w:rPr>
          <w:rFonts w:hint="eastAsia" w:ascii="宋体" w:hAnsi="宋体" w:eastAsia="宋体" w:cs="宋体"/>
        </w:rPr>
        <w:t>（1）附法定代表人及委托代理人身份证复印件并加盖单位公章。</w:t>
      </w:r>
    </w:p>
    <w:p>
      <w:pPr>
        <w:topLinePunct/>
        <w:autoSpaceDE/>
        <w:autoSpaceDN/>
        <w:snapToGrid w:val="0"/>
        <w:spacing w:line="360" w:lineRule="auto"/>
        <w:ind w:firstLine="480" w:firstLineChars="200"/>
        <w:jc w:val="both"/>
        <w:textAlignment w:val="center"/>
        <w:rPr>
          <w:rFonts w:ascii="宋体" w:hAnsi="宋体" w:eastAsia="宋体" w:cs="宋体"/>
        </w:rPr>
      </w:pPr>
      <w:r>
        <w:rPr>
          <w:rFonts w:hint="eastAsia" w:ascii="宋体" w:hAnsi="宋体" w:eastAsia="宋体" w:cs="宋体"/>
        </w:rPr>
        <w:t>（2）投标人的法定代表人直接参加招标活动的，不提供本授权委托书。</w:t>
      </w:r>
    </w:p>
    <w:p>
      <w:pPr>
        <w:topLinePunct/>
        <w:autoSpaceDE/>
        <w:autoSpaceDN/>
        <w:snapToGrid w:val="0"/>
        <w:spacing w:line="360" w:lineRule="auto"/>
        <w:ind w:firstLine="480" w:firstLineChars="200"/>
        <w:jc w:val="both"/>
        <w:textAlignment w:val="center"/>
      </w:pPr>
      <w:r>
        <w:rPr>
          <w:rFonts w:hint="eastAsia" w:ascii="宋体" w:hAnsi="宋体" w:eastAsia="宋体" w:cs="宋体"/>
        </w:rPr>
        <w:t>（3）委托代理人身份证复印件、投标人为其缴纳的社保（提供最近6个月连续缴费证明）复印件。</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（4</w:t>
      </w:r>
      <w:r>
        <w:rPr>
          <w:rFonts w:ascii="宋体" w:hAnsi="宋体" w:eastAsia="宋体"/>
        </w:rPr>
        <w:t>）最近6个月（企业设立不足6个月，从设立时起，下同）连续缴费的</w:t>
      </w:r>
      <w:r>
        <w:rPr>
          <w:rFonts w:hint="eastAsia" w:ascii="宋体" w:hAnsi="宋体" w:eastAsia="宋体"/>
        </w:rPr>
        <w:t>社保</w:t>
      </w:r>
      <w:r>
        <w:rPr>
          <w:rFonts w:ascii="宋体" w:hAnsi="宋体" w:eastAsia="宋体"/>
        </w:rPr>
        <w:t>是指从购买招标文件时间的上一个月或上上个月起算，往前推6个月的连续、不间断，每个月都缴纳了</w:t>
      </w:r>
      <w:r>
        <w:rPr>
          <w:rFonts w:hint="eastAsia" w:ascii="宋体" w:hAnsi="宋体" w:eastAsia="宋体"/>
        </w:rPr>
        <w:t>社保费用</w:t>
      </w:r>
      <w:r>
        <w:rPr>
          <w:rFonts w:ascii="宋体" w:hAnsi="宋体" w:eastAsia="宋体"/>
        </w:rPr>
        <w:t>。</w:t>
      </w:r>
    </w:p>
    <w:p>
      <w:pPr>
        <w:topLinePunct/>
        <w:autoSpaceDE/>
        <w:autoSpaceDN/>
        <w:snapToGrid w:val="0"/>
        <w:spacing w:line="360" w:lineRule="auto"/>
        <w:ind w:firstLine="480" w:firstLineChars="200"/>
        <w:jc w:val="both"/>
        <w:textAlignment w:val="center"/>
        <w:rPr>
          <w:rFonts w:ascii="宋体" w:hAnsi="宋体" w:eastAsia="宋体"/>
        </w:rPr>
        <w:sectPr>
          <w:pgSz w:w="11907" w:h="16840"/>
          <w:pgMar w:top="1440" w:right="1440" w:bottom="1440" w:left="1440" w:header="992" w:footer="992" w:gutter="0"/>
          <w:cols w:equalWidth="0" w:num="1">
            <w:col w:w="9100"/>
          </w:cols>
        </w:sectPr>
      </w:pPr>
    </w:p>
    <w:p>
      <w:pPr>
        <w:pStyle w:val="4"/>
        <w:spacing w:line="240" w:lineRule="auto"/>
        <w:jc w:val="center"/>
        <w:rPr>
          <w:rFonts w:ascii="time" w:hAnsi="time"/>
          <w:szCs w:val="28"/>
        </w:rPr>
      </w:pPr>
      <w:bookmarkStart w:id="184" w:name="_Toc5804113"/>
      <w:bookmarkStart w:id="185" w:name="_Toc533370067"/>
    </w:p>
    <w:p>
      <w:pPr>
        <w:pStyle w:val="4"/>
        <w:spacing w:line="240" w:lineRule="auto"/>
        <w:jc w:val="center"/>
        <w:rPr>
          <w:rFonts w:ascii="time" w:hAnsi="time"/>
          <w:szCs w:val="28"/>
        </w:rPr>
      </w:pPr>
      <w:bookmarkStart w:id="186" w:name="_Toc26718"/>
      <w:r>
        <w:rPr>
          <w:rFonts w:hint="eastAsia" w:ascii="time" w:hAnsi="time"/>
          <w:szCs w:val="28"/>
        </w:rPr>
        <w:t>四</w:t>
      </w:r>
      <w:r>
        <w:rPr>
          <w:rFonts w:ascii="time" w:hAnsi="time"/>
          <w:szCs w:val="28"/>
        </w:rPr>
        <w:t>、投标报价函</w:t>
      </w:r>
      <w:bookmarkEnd w:id="186"/>
    </w:p>
    <w:p>
      <w:pPr>
        <w:spacing w:before="14"/>
        <w:ind w:left="-39" w:leftChars="-62" w:right="3107" w:hanging="110" w:hangingChars="46"/>
        <w:rPr>
          <w:rFonts w:ascii="time" w:hAnsi="time" w:cs="宋体"/>
          <w:b/>
        </w:rPr>
      </w:pPr>
      <w:r>
        <w:rPr>
          <w:rFonts w:hint="eastAsia" w:ascii="time" w:hAnsi="time" w:cs="宋体"/>
          <w:b/>
        </w:rPr>
        <w:t xml:space="preserve">4.1 </w:t>
      </w:r>
      <w:r>
        <w:rPr>
          <w:rFonts w:ascii="time" w:hAnsi="time" w:cs="宋体"/>
          <w:b/>
        </w:rPr>
        <w:t>投标报价函</w:t>
      </w:r>
    </w:p>
    <w:p>
      <w:pPr>
        <w:tabs>
          <w:tab w:val="left" w:pos="1169"/>
        </w:tabs>
        <w:spacing w:before="134"/>
        <w:ind w:left="224"/>
        <w:rPr>
          <w:rFonts w:ascii="宋体" w:hAnsi="宋体" w:eastAsia="宋体" w:cs="宋体"/>
        </w:rPr>
      </w:pPr>
      <w:r>
        <w:rPr>
          <w:rFonts w:hint="eastAsia" w:ascii="宋体" w:hAnsi="宋体" w:eastAsia="宋体" w:cs="宋体"/>
          <w:u w:val="single"/>
        </w:rPr>
        <w:tab/>
      </w:r>
      <w:r>
        <w:rPr>
          <w:rFonts w:hint="eastAsia" w:ascii="宋体" w:hAnsi="宋体" w:eastAsia="宋体" w:cs="宋体"/>
          <w:u w:val="single"/>
        </w:rPr>
        <w:t xml:space="preserve">(招标人)  </w:t>
      </w:r>
      <w:r>
        <w:rPr>
          <w:rFonts w:hint="eastAsia" w:ascii="宋体" w:hAnsi="宋体" w:eastAsia="宋体" w:cs="宋体"/>
          <w:spacing w:val="51"/>
          <w:u w:val="single"/>
        </w:rPr>
        <w:t xml:space="preserve"> </w:t>
      </w:r>
      <w:r>
        <w:rPr>
          <w:rFonts w:hint="eastAsia" w:ascii="宋体" w:hAnsi="宋体" w:eastAsia="宋体" w:cs="宋体"/>
        </w:rPr>
        <w:t>：</w:t>
      </w:r>
    </w:p>
    <w:p>
      <w:pPr>
        <w:tabs>
          <w:tab w:val="left" w:pos="3688"/>
          <w:tab w:val="left" w:pos="4632"/>
          <w:tab w:val="left" w:pos="6871"/>
        </w:tabs>
        <w:spacing w:before="117" w:line="336" w:lineRule="auto"/>
        <w:ind w:left="118" w:right="115" w:firstLine="420"/>
        <w:rPr>
          <w:rFonts w:ascii="宋体" w:hAnsi="宋体" w:eastAsia="宋体" w:cs="宋体"/>
        </w:rPr>
      </w:pPr>
      <w:r>
        <w:rPr>
          <w:rFonts w:hint="eastAsia" w:ascii="宋体" w:hAnsi="宋体" w:eastAsia="宋体" w:cs="宋体"/>
        </w:rPr>
        <w:t>我方</w:t>
      </w:r>
      <w:r>
        <w:rPr>
          <w:rFonts w:hint="eastAsia" w:ascii="宋体" w:hAnsi="宋体" w:eastAsia="宋体" w:cs="宋体"/>
          <w:u w:val="single"/>
        </w:rPr>
        <w:t xml:space="preserve">        (投标人全称)       </w:t>
      </w:r>
      <w:r>
        <w:rPr>
          <w:rFonts w:hint="eastAsia" w:ascii="宋体" w:hAnsi="宋体" w:eastAsia="宋体" w:cs="宋体"/>
        </w:rPr>
        <w:t>收到并研究了</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招标文件的全部内容，愿意按照招标文件及其合同条件的规定承担</w:t>
      </w:r>
      <w:r>
        <w:rPr>
          <w:rFonts w:hint="eastAsia" w:ascii="宋体" w:hAnsi="宋体" w:eastAsia="宋体" w:cs="宋体"/>
          <w:u w:val="single"/>
        </w:rPr>
        <w:tab/>
      </w:r>
      <w:r>
        <w:rPr>
          <w:rFonts w:hint="eastAsia" w:ascii="宋体" w:hAnsi="宋体" w:eastAsia="宋体" w:cs="宋体"/>
        </w:rPr>
        <w:t xml:space="preserve"> 服务，并严格履行投标人所承诺的责任和义务。</w:t>
      </w:r>
    </w:p>
    <w:p>
      <w:pPr>
        <w:tabs>
          <w:tab w:val="left" w:pos="1903"/>
          <w:tab w:val="left" w:pos="5892"/>
          <w:tab w:val="left" w:pos="7957"/>
        </w:tabs>
        <w:spacing w:before="50"/>
        <w:ind w:left="538"/>
        <w:rPr>
          <w:rFonts w:ascii="宋体" w:hAnsi="宋体" w:eastAsia="宋体" w:cs="宋体"/>
        </w:rPr>
      </w:pPr>
      <w:r>
        <w:rPr>
          <w:rFonts w:hint="eastAsia" w:ascii="宋体" w:hAnsi="宋体" w:eastAsia="宋体" w:cs="宋体"/>
        </w:rPr>
        <w:t>我方对</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标段的投标报价总额为人民币（小写）</w:t>
      </w:r>
      <w:r>
        <w:rPr>
          <w:rFonts w:hint="eastAsia" w:ascii="宋体" w:hAnsi="宋体" w:eastAsia="宋体" w:cs="宋体"/>
          <w:u w:val="single"/>
        </w:rPr>
        <w:t xml:space="preserve">        </w:t>
      </w:r>
      <w:r>
        <w:rPr>
          <w:rFonts w:hint="eastAsia" w:ascii="宋体" w:hAnsi="宋体" w:eastAsia="宋体" w:cs="宋体"/>
        </w:rPr>
        <w:t>元，(大写</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元)。</w:t>
      </w:r>
    </w:p>
    <w:p>
      <w:pPr>
        <w:tabs>
          <w:tab w:val="left" w:pos="3688"/>
          <w:tab w:val="left" w:pos="4632"/>
          <w:tab w:val="left" w:pos="6871"/>
        </w:tabs>
        <w:spacing w:before="117" w:line="336" w:lineRule="auto"/>
        <w:ind w:left="118" w:right="115" w:firstLine="420"/>
        <w:rPr>
          <w:rFonts w:ascii="宋体" w:hAnsi="宋体" w:eastAsia="宋体" w:cs="宋体"/>
        </w:rPr>
      </w:pPr>
      <w:r>
        <w:rPr>
          <w:rFonts w:hint="eastAsia" w:ascii="宋体" w:hAnsi="宋体" w:eastAsia="宋体" w:cs="宋体"/>
        </w:rPr>
        <w:t>如果我方中标，我们保证按招标文件的要求，以及与业主签订合同，成立</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项目组，履行合同中约定的义务和我方应当承担的合同责任。</w:t>
      </w:r>
    </w:p>
    <w:p>
      <w:pPr>
        <w:rPr>
          <w:rFonts w:ascii="宋体" w:hAnsi="宋体" w:eastAsia="宋体" w:cs="宋体"/>
        </w:rPr>
      </w:pPr>
    </w:p>
    <w:p>
      <w:pPr>
        <w:rPr>
          <w:rFonts w:ascii="宋体" w:hAnsi="宋体" w:eastAsia="宋体" w:cs="宋体"/>
        </w:rPr>
      </w:pPr>
    </w:p>
    <w:p>
      <w:pPr>
        <w:spacing w:before="9"/>
        <w:rPr>
          <w:rFonts w:ascii="宋体" w:hAnsi="宋体" w:eastAsia="宋体" w:cs="宋体"/>
        </w:rPr>
      </w:pPr>
    </w:p>
    <w:p>
      <w:pPr>
        <w:tabs>
          <w:tab w:val="left" w:pos="6733"/>
          <w:tab w:val="left" w:pos="9120"/>
        </w:tabs>
        <w:spacing w:line="480" w:lineRule="auto"/>
        <w:ind w:firstLine="2880" w:firstLineChars="1200"/>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(盖单位章)</w:t>
      </w:r>
      <w:r>
        <w:rPr>
          <w:rFonts w:hint="eastAsia" w:ascii="宋体" w:hAnsi="宋体" w:eastAsia="宋体" w:cs="宋体"/>
          <w:u w:val="single"/>
        </w:rPr>
        <w:tab/>
      </w:r>
    </w:p>
    <w:p>
      <w:pPr>
        <w:tabs>
          <w:tab w:val="left" w:pos="7818"/>
          <w:tab w:val="left" w:pos="9165"/>
        </w:tabs>
        <w:spacing w:before="42" w:line="480" w:lineRule="auto"/>
        <w:ind w:firstLine="2880" w:firstLineChars="1200"/>
        <w:rPr>
          <w:rFonts w:ascii="宋体" w:hAnsi="宋体" w:eastAsia="宋体" w:cs="宋体"/>
        </w:rPr>
      </w:pPr>
      <w:r>
        <w:rPr>
          <w:rFonts w:hint="eastAsia" w:ascii="宋体" w:hAnsi="宋体" w:eastAsia="宋体" w:cs="宋体"/>
        </w:rPr>
        <w:t>法定代表人(或授权代理人)：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(签名)</w:t>
      </w:r>
      <w:r>
        <w:rPr>
          <w:rFonts w:hint="eastAsia" w:ascii="宋体" w:hAnsi="宋体" w:eastAsia="宋体" w:cs="宋体"/>
          <w:u w:val="single"/>
        </w:rPr>
        <w:tab/>
      </w:r>
    </w:p>
    <w:p>
      <w:pPr>
        <w:tabs>
          <w:tab w:val="left" w:pos="6418"/>
          <w:tab w:val="left" w:pos="7678"/>
          <w:tab w:val="left" w:pos="9075"/>
          <w:tab w:val="left" w:pos="9165"/>
        </w:tabs>
        <w:spacing w:before="42" w:line="480" w:lineRule="auto"/>
        <w:ind w:right="219" w:firstLine="2880" w:firstLineChars="1200"/>
        <w:rPr>
          <w:rFonts w:ascii="宋体" w:hAnsi="宋体" w:eastAsia="宋体" w:cs="宋体"/>
          <w:u w:val="single"/>
        </w:rPr>
      </w:pPr>
      <w:r>
        <w:rPr>
          <w:rFonts w:hint="eastAsia" w:ascii="宋体" w:hAnsi="宋体" w:eastAsia="宋体" w:cs="宋体"/>
        </w:rPr>
        <w:t>地址：</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p>
    <w:p>
      <w:pPr>
        <w:tabs>
          <w:tab w:val="left" w:pos="6418"/>
          <w:tab w:val="left" w:pos="7678"/>
          <w:tab w:val="left" w:pos="8832"/>
          <w:tab w:val="left" w:pos="9042"/>
        </w:tabs>
        <w:spacing w:before="42" w:line="480" w:lineRule="auto"/>
        <w:ind w:right="219" w:firstLine="2880" w:firstLineChars="1200"/>
        <w:rPr>
          <w:rFonts w:ascii="宋体" w:hAnsi="宋体" w:eastAsia="宋体" w:cs="宋体"/>
          <w:u w:val="single"/>
        </w:rPr>
      </w:pPr>
      <w:r>
        <w:rPr>
          <w:rFonts w:hint="eastAsia" w:ascii="宋体" w:hAnsi="宋体" w:eastAsia="宋体" w:cs="宋体"/>
        </w:rPr>
        <w:t>电话：</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p>
    <w:p>
      <w:pPr>
        <w:tabs>
          <w:tab w:val="left" w:pos="6418"/>
          <w:tab w:val="left" w:pos="7678"/>
          <w:tab w:val="left" w:pos="8832"/>
          <w:tab w:val="left" w:pos="9042"/>
        </w:tabs>
        <w:spacing w:before="42" w:line="480" w:lineRule="auto"/>
        <w:ind w:right="219" w:firstLine="2880" w:firstLineChars="1200"/>
        <w:rPr>
          <w:rFonts w:ascii="宋体" w:hAnsi="宋体" w:eastAsia="宋体" w:cs="宋体"/>
          <w:u w:val="single"/>
        </w:rPr>
      </w:pPr>
      <w:r>
        <w:rPr>
          <w:rFonts w:hint="eastAsia" w:ascii="宋体" w:hAnsi="宋体" w:eastAsia="宋体" w:cs="宋体"/>
        </w:rPr>
        <w:t>传真：</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p>
    <w:p>
      <w:pPr>
        <w:tabs>
          <w:tab w:val="left" w:pos="6418"/>
          <w:tab w:val="left" w:pos="7678"/>
          <w:tab w:val="left" w:pos="8832"/>
          <w:tab w:val="left" w:pos="9042"/>
        </w:tabs>
        <w:spacing w:before="42" w:line="480" w:lineRule="auto"/>
        <w:ind w:right="219" w:firstLine="2880" w:firstLineChars="1200"/>
        <w:rPr>
          <w:rFonts w:ascii="宋体" w:hAnsi="宋体" w:eastAsia="宋体" w:cs="宋体"/>
        </w:rPr>
      </w:pPr>
      <w:r>
        <w:rPr>
          <w:rFonts w:hint="eastAsia" w:ascii="宋体" w:hAnsi="宋体" w:eastAsia="宋体" w:cs="宋体"/>
        </w:rPr>
        <w:t>时间：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p>
    <w:p>
      <w:pPr>
        <w:spacing w:before="14"/>
        <w:ind w:left="-39" w:leftChars="-62" w:right="3107" w:hanging="110" w:hangingChars="46"/>
        <w:rPr>
          <w:rFonts w:ascii="time" w:hAnsi="time" w:cs="宋体"/>
          <w:b/>
        </w:rPr>
      </w:pPr>
      <w:r>
        <w:rPr>
          <w:rFonts w:ascii="time" w:hAnsi="time"/>
        </w:rPr>
        <w:br w:type="page"/>
      </w:r>
      <w:r>
        <w:rPr>
          <w:rFonts w:ascii="time" w:hAnsi="time"/>
        </w:rPr>
        <w:t>4.2</w:t>
      </w:r>
      <w:r>
        <w:rPr>
          <w:rFonts w:ascii="time" w:hAnsi="time" w:cs="宋体"/>
          <w:b/>
        </w:rPr>
        <w:t>投标报价表</w:t>
      </w:r>
    </w:p>
    <w:p>
      <w:pPr>
        <w:spacing w:before="134"/>
        <w:ind w:left="890"/>
        <w:jc w:val="center"/>
        <w:rPr>
          <w:rFonts w:ascii="time" w:hAnsi="time"/>
          <w:b/>
        </w:rPr>
      </w:pPr>
      <w:r>
        <w:rPr>
          <w:rFonts w:ascii="time" w:hAnsi="time"/>
          <w:b/>
        </w:rPr>
        <w:t>报价表</w:t>
      </w:r>
    </w:p>
    <w:p>
      <w:pPr>
        <w:ind w:right="120"/>
        <w:jc w:val="right"/>
        <w:rPr>
          <w:rFonts w:ascii="time" w:hAnsi="time" w:eastAsia="宋体"/>
          <w:b/>
        </w:rPr>
      </w:pPr>
      <w:r>
        <w:rPr>
          <w:rFonts w:hint="eastAsia" w:ascii="time" w:hAnsi="time" w:eastAsia="宋体"/>
          <w:b/>
        </w:rPr>
        <w:tab/>
      </w:r>
      <w:r>
        <w:rPr>
          <w:rFonts w:hint="eastAsia" w:ascii="宋体" w:hAnsi="宋体" w:eastAsia="宋体" w:cs="宋体"/>
          <w:b/>
          <w:bCs/>
          <w:szCs w:val="21"/>
        </w:rPr>
        <w:t>单位：人民币元</w:t>
      </w:r>
    </w:p>
    <w:tbl>
      <w:tblPr>
        <w:tblStyle w:val="48"/>
        <w:tblW w:w="5000" w:type="pct"/>
        <w:jc w:val="center"/>
        <w:tblLayout w:type="autofit"/>
        <w:tblCellMar>
          <w:top w:w="0" w:type="dxa"/>
          <w:left w:w="108" w:type="dxa"/>
          <w:bottom w:w="0" w:type="dxa"/>
          <w:right w:w="108" w:type="dxa"/>
        </w:tblCellMar>
      </w:tblPr>
      <w:tblGrid>
        <w:gridCol w:w="1253"/>
        <w:gridCol w:w="2250"/>
        <w:gridCol w:w="990"/>
        <w:gridCol w:w="775"/>
        <w:gridCol w:w="1496"/>
        <w:gridCol w:w="1496"/>
        <w:gridCol w:w="1481"/>
      </w:tblGrid>
      <w:tr>
        <w:tblPrEx>
          <w:tblCellMar>
            <w:top w:w="0" w:type="dxa"/>
            <w:left w:w="108" w:type="dxa"/>
            <w:bottom w:w="0" w:type="dxa"/>
            <w:right w:w="108" w:type="dxa"/>
          </w:tblCellMar>
        </w:tblPrEx>
        <w:trPr>
          <w:trHeight w:val="454" w:hRule="atLeast"/>
          <w:jc w:val="center"/>
        </w:trPr>
        <w:tc>
          <w:tcPr>
            <w:tcW w:w="643" w:type="pct"/>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宋体" w:hAnsi="宋体" w:eastAsia="宋体" w:cs="宋体"/>
                <w:b/>
                <w:bCs/>
                <w:szCs w:val="21"/>
              </w:rPr>
            </w:pPr>
            <w:r>
              <w:rPr>
                <w:rFonts w:hint="eastAsia" w:ascii="宋体" w:hAnsi="宋体" w:eastAsia="宋体" w:cs="宋体"/>
                <w:b/>
                <w:bCs/>
                <w:szCs w:val="21"/>
              </w:rPr>
              <w:t>分组编号</w:t>
            </w:r>
          </w:p>
        </w:tc>
        <w:tc>
          <w:tcPr>
            <w:tcW w:w="1155" w:type="pct"/>
            <w:tcBorders>
              <w:top w:val="single" w:color="auto" w:sz="4" w:space="0"/>
              <w:left w:val="nil"/>
              <w:bottom w:val="single" w:color="auto" w:sz="4" w:space="0"/>
              <w:right w:val="single" w:color="auto" w:sz="4" w:space="0"/>
            </w:tcBorders>
            <w:shd w:val="clear" w:color="auto" w:fill="FFFFFF"/>
            <w:vAlign w:val="center"/>
          </w:tcPr>
          <w:p>
            <w:pPr>
              <w:widowControl/>
              <w:spacing w:line="300" w:lineRule="auto"/>
              <w:jc w:val="center"/>
              <w:rPr>
                <w:rFonts w:ascii="宋体" w:hAnsi="宋体" w:eastAsia="宋体" w:cs="宋体"/>
                <w:b/>
                <w:bCs/>
                <w:szCs w:val="21"/>
              </w:rPr>
            </w:pPr>
            <w:r>
              <w:rPr>
                <w:rFonts w:hint="eastAsia" w:ascii="宋体" w:hAnsi="宋体" w:eastAsia="宋体" w:cs="宋体"/>
                <w:b/>
                <w:bCs/>
                <w:szCs w:val="21"/>
              </w:rPr>
              <w:t>项目名称</w:t>
            </w:r>
          </w:p>
        </w:tc>
        <w:tc>
          <w:tcPr>
            <w:tcW w:w="508" w:type="pct"/>
            <w:tcBorders>
              <w:top w:val="single" w:color="auto" w:sz="4" w:space="0"/>
              <w:left w:val="nil"/>
              <w:bottom w:val="single" w:color="auto" w:sz="4" w:space="0"/>
              <w:right w:val="single" w:color="auto" w:sz="4" w:space="0"/>
            </w:tcBorders>
            <w:vAlign w:val="center"/>
          </w:tcPr>
          <w:p>
            <w:pPr>
              <w:widowControl/>
              <w:spacing w:line="300" w:lineRule="auto"/>
              <w:jc w:val="center"/>
              <w:rPr>
                <w:rFonts w:ascii="宋体" w:hAnsi="宋体" w:eastAsia="宋体" w:cs="宋体"/>
                <w:b/>
                <w:bCs/>
                <w:szCs w:val="21"/>
              </w:rPr>
            </w:pPr>
            <w:r>
              <w:rPr>
                <w:rFonts w:hint="eastAsia" w:ascii="宋体" w:hAnsi="宋体" w:eastAsia="宋体" w:cs="宋体"/>
                <w:b/>
                <w:bCs/>
                <w:szCs w:val="21"/>
              </w:rPr>
              <w:t>单位</w:t>
            </w:r>
          </w:p>
        </w:tc>
        <w:tc>
          <w:tcPr>
            <w:tcW w:w="398" w:type="pct"/>
            <w:tcBorders>
              <w:top w:val="single" w:color="auto" w:sz="4" w:space="0"/>
              <w:left w:val="nil"/>
              <w:bottom w:val="single" w:color="auto" w:sz="4" w:space="0"/>
              <w:right w:val="single" w:color="auto" w:sz="4" w:space="0"/>
            </w:tcBorders>
            <w:vAlign w:val="center"/>
          </w:tcPr>
          <w:p>
            <w:pPr>
              <w:widowControl/>
              <w:spacing w:line="300" w:lineRule="auto"/>
              <w:jc w:val="center"/>
              <w:rPr>
                <w:rFonts w:ascii="宋体" w:hAnsi="宋体" w:eastAsia="宋体" w:cs="宋体"/>
                <w:b/>
                <w:bCs/>
                <w:szCs w:val="21"/>
              </w:rPr>
            </w:pPr>
            <w:r>
              <w:rPr>
                <w:rFonts w:hint="eastAsia" w:ascii="宋体" w:hAnsi="宋体" w:eastAsia="宋体" w:cs="宋体"/>
                <w:b/>
                <w:bCs/>
                <w:szCs w:val="21"/>
              </w:rPr>
              <w:t>数量</w:t>
            </w:r>
          </w:p>
        </w:tc>
        <w:tc>
          <w:tcPr>
            <w:tcW w:w="768" w:type="pct"/>
            <w:tcBorders>
              <w:top w:val="single" w:color="auto" w:sz="4" w:space="0"/>
              <w:left w:val="nil"/>
              <w:bottom w:val="single" w:color="auto" w:sz="4" w:space="0"/>
              <w:right w:val="single" w:color="auto" w:sz="4" w:space="0"/>
            </w:tcBorders>
            <w:vAlign w:val="center"/>
          </w:tcPr>
          <w:p>
            <w:pPr>
              <w:widowControl/>
              <w:spacing w:line="300" w:lineRule="auto"/>
              <w:jc w:val="center"/>
              <w:rPr>
                <w:rFonts w:ascii="宋体" w:hAnsi="宋体" w:eastAsia="宋体" w:cs="宋体"/>
                <w:b/>
                <w:bCs/>
                <w:szCs w:val="21"/>
              </w:rPr>
            </w:pPr>
            <w:r>
              <w:rPr>
                <w:rFonts w:hint="eastAsia" w:ascii="宋体" w:hAnsi="宋体" w:eastAsia="宋体" w:cs="宋体"/>
                <w:b/>
                <w:bCs/>
                <w:szCs w:val="21"/>
              </w:rPr>
              <w:t>单价</w:t>
            </w:r>
          </w:p>
        </w:tc>
        <w:tc>
          <w:tcPr>
            <w:tcW w:w="768" w:type="pct"/>
            <w:tcBorders>
              <w:top w:val="single" w:color="auto" w:sz="4" w:space="0"/>
              <w:left w:val="nil"/>
              <w:bottom w:val="single" w:color="auto" w:sz="4" w:space="0"/>
              <w:right w:val="single" w:color="auto" w:sz="4" w:space="0"/>
            </w:tcBorders>
            <w:vAlign w:val="center"/>
          </w:tcPr>
          <w:p>
            <w:pPr>
              <w:widowControl/>
              <w:spacing w:line="300" w:lineRule="auto"/>
              <w:jc w:val="center"/>
              <w:rPr>
                <w:rFonts w:ascii="宋体" w:hAnsi="宋体" w:eastAsia="宋体" w:cs="宋体"/>
                <w:b/>
                <w:bCs/>
                <w:szCs w:val="21"/>
              </w:rPr>
            </w:pPr>
            <w:r>
              <w:rPr>
                <w:rFonts w:hint="eastAsia" w:ascii="宋体" w:hAnsi="宋体" w:eastAsia="宋体" w:cs="宋体"/>
                <w:b/>
                <w:bCs/>
                <w:szCs w:val="21"/>
              </w:rPr>
              <w:t>合价</w:t>
            </w:r>
          </w:p>
        </w:tc>
        <w:tc>
          <w:tcPr>
            <w:tcW w:w="760" w:type="pct"/>
            <w:tcBorders>
              <w:top w:val="single" w:color="auto" w:sz="4" w:space="0"/>
              <w:left w:val="nil"/>
              <w:bottom w:val="single" w:color="auto" w:sz="4" w:space="0"/>
              <w:right w:val="single" w:color="auto" w:sz="4" w:space="0"/>
            </w:tcBorders>
            <w:vAlign w:val="center"/>
          </w:tcPr>
          <w:p>
            <w:pPr>
              <w:widowControl/>
              <w:spacing w:line="300" w:lineRule="auto"/>
              <w:jc w:val="center"/>
              <w:rPr>
                <w:rFonts w:ascii="宋体" w:hAnsi="宋体" w:eastAsia="宋体" w:cs="宋体"/>
                <w:b/>
                <w:bCs/>
                <w:szCs w:val="21"/>
              </w:rPr>
            </w:pPr>
            <w:r>
              <w:rPr>
                <w:rFonts w:hint="eastAsia" w:ascii="宋体" w:hAnsi="宋体" w:eastAsia="宋体" w:cs="宋体"/>
                <w:b/>
                <w:bCs/>
                <w:szCs w:val="21"/>
              </w:rPr>
              <w:t>备注</w:t>
            </w:r>
          </w:p>
        </w:tc>
      </w:tr>
      <w:tr>
        <w:tblPrEx>
          <w:tblCellMar>
            <w:top w:w="0" w:type="dxa"/>
            <w:left w:w="108" w:type="dxa"/>
            <w:bottom w:w="0" w:type="dxa"/>
            <w:right w:w="108" w:type="dxa"/>
          </w:tblCellMar>
        </w:tblPrEx>
        <w:trPr>
          <w:trHeight w:val="454" w:hRule="atLeast"/>
          <w:jc w:val="center"/>
        </w:trPr>
        <w:tc>
          <w:tcPr>
            <w:tcW w:w="643" w:type="pct"/>
            <w:tcBorders>
              <w:top w:val="nil"/>
              <w:left w:val="single" w:color="auto" w:sz="4" w:space="0"/>
              <w:bottom w:val="single" w:color="auto" w:sz="4" w:space="0"/>
              <w:right w:val="single" w:color="auto" w:sz="4" w:space="0"/>
            </w:tcBorders>
            <w:vAlign w:val="center"/>
          </w:tcPr>
          <w:p>
            <w:pPr>
              <w:widowControl/>
              <w:spacing w:line="300" w:lineRule="auto"/>
              <w:jc w:val="center"/>
              <w:rPr>
                <w:rFonts w:ascii="宋体" w:hAnsi="宋体" w:eastAsia="宋体" w:cs="宋体"/>
                <w:szCs w:val="21"/>
              </w:rPr>
            </w:pPr>
            <w:r>
              <w:rPr>
                <w:rFonts w:hint="eastAsia" w:ascii="宋体" w:hAnsi="宋体" w:eastAsia="宋体" w:cs="宋体"/>
                <w:szCs w:val="21"/>
              </w:rPr>
              <w:t>1</w:t>
            </w:r>
          </w:p>
        </w:tc>
        <w:tc>
          <w:tcPr>
            <w:tcW w:w="1155" w:type="pct"/>
            <w:tcBorders>
              <w:top w:val="nil"/>
              <w:left w:val="nil"/>
              <w:bottom w:val="single" w:color="auto" w:sz="4" w:space="0"/>
              <w:right w:val="single" w:color="auto" w:sz="4" w:space="0"/>
            </w:tcBorders>
            <w:vAlign w:val="center"/>
          </w:tcPr>
          <w:p>
            <w:pPr>
              <w:widowControl/>
              <w:spacing w:line="300" w:lineRule="auto"/>
              <w:rPr>
                <w:rFonts w:ascii="宋体" w:hAnsi="宋体" w:eastAsia="宋体" w:cs="宋体"/>
                <w:szCs w:val="21"/>
              </w:rPr>
            </w:pPr>
            <w:r>
              <w:rPr>
                <w:rFonts w:hint="eastAsia" w:ascii="宋体" w:hAnsi="宋体" w:eastAsia="宋体" w:cs="宋体"/>
                <w:szCs w:val="21"/>
              </w:rPr>
              <w:t>现场调查</w:t>
            </w:r>
          </w:p>
        </w:tc>
        <w:tc>
          <w:tcPr>
            <w:tcW w:w="508" w:type="pct"/>
            <w:tcBorders>
              <w:top w:val="nil"/>
              <w:left w:val="nil"/>
              <w:bottom w:val="single" w:color="auto" w:sz="4" w:space="0"/>
              <w:right w:val="single" w:color="auto" w:sz="4" w:space="0"/>
            </w:tcBorders>
            <w:vAlign w:val="center"/>
          </w:tcPr>
          <w:p>
            <w:pPr>
              <w:widowControl/>
              <w:spacing w:line="300" w:lineRule="auto"/>
              <w:jc w:val="center"/>
              <w:rPr>
                <w:rFonts w:ascii="宋体" w:hAnsi="宋体" w:eastAsia="宋体" w:cs="宋体"/>
                <w:szCs w:val="21"/>
              </w:rPr>
            </w:pPr>
            <w:r>
              <w:rPr>
                <w:rFonts w:hint="eastAsia" w:ascii="宋体" w:hAnsi="宋体" w:eastAsia="宋体" w:cs="宋体"/>
                <w:szCs w:val="21"/>
              </w:rPr>
              <w:t>项</w:t>
            </w:r>
          </w:p>
        </w:tc>
        <w:tc>
          <w:tcPr>
            <w:tcW w:w="398" w:type="pct"/>
            <w:tcBorders>
              <w:top w:val="nil"/>
              <w:left w:val="nil"/>
              <w:bottom w:val="single" w:color="auto" w:sz="4" w:space="0"/>
              <w:right w:val="single" w:color="auto" w:sz="4" w:space="0"/>
            </w:tcBorders>
            <w:vAlign w:val="center"/>
          </w:tcPr>
          <w:p>
            <w:pPr>
              <w:widowControl/>
              <w:spacing w:line="300" w:lineRule="auto"/>
              <w:jc w:val="center"/>
              <w:rPr>
                <w:rFonts w:ascii="宋体" w:hAnsi="宋体" w:eastAsia="宋体" w:cs="宋体"/>
                <w:szCs w:val="21"/>
              </w:rPr>
            </w:pPr>
            <w:r>
              <w:rPr>
                <w:rFonts w:hint="eastAsia" w:ascii="宋体" w:hAnsi="宋体" w:eastAsia="宋体" w:cs="宋体"/>
                <w:szCs w:val="21"/>
              </w:rPr>
              <w:t>1</w:t>
            </w:r>
          </w:p>
        </w:tc>
        <w:tc>
          <w:tcPr>
            <w:tcW w:w="768" w:type="pct"/>
            <w:tcBorders>
              <w:top w:val="single" w:color="auto" w:sz="4" w:space="0"/>
              <w:left w:val="nil"/>
              <w:bottom w:val="single" w:color="auto" w:sz="4" w:space="0"/>
              <w:right w:val="single" w:color="auto" w:sz="4" w:space="0"/>
            </w:tcBorders>
            <w:vAlign w:val="center"/>
          </w:tcPr>
          <w:p>
            <w:pPr>
              <w:widowControl/>
              <w:spacing w:line="300" w:lineRule="auto"/>
              <w:jc w:val="center"/>
              <w:rPr>
                <w:rFonts w:ascii="宋体" w:hAnsi="宋体" w:eastAsia="宋体" w:cs="宋体"/>
                <w:szCs w:val="21"/>
              </w:rPr>
            </w:pPr>
          </w:p>
        </w:tc>
        <w:tc>
          <w:tcPr>
            <w:tcW w:w="768" w:type="pct"/>
            <w:tcBorders>
              <w:top w:val="single" w:color="auto" w:sz="4" w:space="0"/>
              <w:left w:val="nil"/>
              <w:bottom w:val="single" w:color="auto" w:sz="4" w:space="0"/>
              <w:right w:val="single" w:color="auto" w:sz="4" w:space="0"/>
            </w:tcBorders>
            <w:vAlign w:val="center"/>
          </w:tcPr>
          <w:p>
            <w:pPr>
              <w:widowControl/>
              <w:spacing w:line="300" w:lineRule="auto"/>
              <w:jc w:val="center"/>
              <w:rPr>
                <w:rFonts w:ascii="宋体" w:hAnsi="宋体" w:eastAsia="宋体" w:cs="宋体"/>
                <w:szCs w:val="21"/>
              </w:rPr>
            </w:pPr>
          </w:p>
        </w:tc>
        <w:tc>
          <w:tcPr>
            <w:tcW w:w="760" w:type="pct"/>
            <w:tcBorders>
              <w:top w:val="nil"/>
              <w:left w:val="nil"/>
              <w:bottom w:val="single" w:color="auto" w:sz="4" w:space="0"/>
              <w:right w:val="single" w:color="auto" w:sz="4" w:space="0"/>
            </w:tcBorders>
            <w:vAlign w:val="center"/>
          </w:tcPr>
          <w:p>
            <w:pPr>
              <w:widowControl/>
              <w:spacing w:line="300" w:lineRule="auto"/>
              <w:rPr>
                <w:rFonts w:ascii="宋体" w:hAnsi="宋体" w:eastAsia="宋体" w:cs="宋体"/>
                <w:szCs w:val="21"/>
              </w:rPr>
            </w:pPr>
            <w:r>
              <w:rPr>
                <w:rFonts w:hint="eastAsia" w:ascii="宋体" w:hAnsi="宋体" w:eastAsia="宋体" w:cs="宋体"/>
                <w:szCs w:val="21"/>
              </w:rPr>
              <w:t>总价承包</w:t>
            </w:r>
          </w:p>
        </w:tc>
      </w:tr>
      <w:tr>
        <w:tblPrEx>
          <w:tblCellMar>
            <w:top w:w="0" w:type="dxa"/>
            <w:left w:w="108" w:type="dxa"/>
            <w:bottom w:w="0" w:type="dxa"/>
            <w:right w:w="108" w:type="dxa"/>
          </w:tblCellMar>
        </w:tblPrEx>
        <w:trPr>
          <w:trHeight w:val="454" w:hRule="atLeast"/>
          <w:jc w:val="center"/>
        </w:trPr>
        <w:tc>
          <w:tcPr>
            <w:tcW w:w="643" w:type="pct"/>
            <w:tcBorders>
              <w:top w:val="nil"/>
              <w:left w:val="single" w:color="auto" w:sz="4" w:space="0"/>
              <w:bottom w:val="single" w:color="auto" w:sz="4" w:space="0"/>
              <w:right w:val="single" w:color="auto" w:sz="4" w:space="0"/>
            </w:tcBorders>
            <w:vAlign w:val="center"/>
          </w:tcPr>
          <w:p>
            <w:pPr>
              <w:widowControl/>
              <w:spacing w:line="300" w:lineRule="auto"/>
              <w:jc w:val="center"/>
              <w:rPr>
                <w:rFonts w:ascii="宋体" w:hAnsi="宋体" w:eastAsia="宋体" w:cs="宋体"/>
                <w:szCs w:val="21"/>
              </w:rPr>
            </w:pPr>
            <w:r>
              <w:rPr>
                <w:rFonts w:hint="eastAsia" w:ascii="宋体" w:hAnsi="宋体" w:eastAsia="宋体" w:cs="宋体"/>
                <w:szCs w:val="21"/>
              </w:rPr>
              <w:t>2</w:t>
            </w:r>
          </w:p>
        </w:tc>
        <w:tc>
          <w:tcPr>
            <w:tcW w:w="1155" w:type="pct"/>
            <w:tcBorders>
              <w:top w:val="nil"/>
              <w:left w:val="nil"/>
              <w:bottom w:val="single" w:color="auto" w:sz="4" w:space="0"/>
              <w:right w:val="single" w:color="auto" w:sz="4" w:space="0"/>
            </w:tcBorders>
            <w:vAlign w:val="center"/>
          </w:tcPr>
          <w:p>
            <w:pPr>
              <w:widowControl/>
              <w:spacing w:line="300" w:lineRule="auto"/>
              <w:rPr>
                <w:rFonts w:ascii="宋体" w:hAnsi="宋体" w:eastAsia="宋体" w:cs="宋体"/>
                <w:szCs w:val="21"/>
              </w:rPr>
            </w:pPr>
            <w:r>
              <w:rPr>
                <w:rFonts w:hint="eastAsia" w:ascii="宋体" w:hAnsi="宋体" w:eastAsia="宋体" w:cs="宋体"/>
                <w:szCs w:val="21"/>
              </w:rPr>
              <w:t>报告编制</w:t>
            </w:r>
          </w:p>
        </w:tc>
        <w:tc>
          <w:tcPr>
            <w:tcW w:w="508" w:type="pct"/>
            <w:tcBorders>
              <w:top w:val="nil"/>
              <w:left w:val="nil"/>
              <w:bottom w:val="single" w:color="auto" w:sz="4" w:space="0"/>
              <w:right w:val="single" w:color="auto" w:sz="4" w:space="0"/>
            </w:tcBorders>
            <w:vAlign w:val="center"/>
          </w:tcPr>
          <w:p>
            <w:pPr>
              <w:widowControl/>
              <w:spacing w:line="300" w:lineRule="auto"/>
              <w:jc w:val="center"/>
              <w:rPr>
                <w:rFonts w:ascii="宋体" w:hAnsi="宋体" w:eastAsia="宋体" w:cs="宋体"/>
                <w:szCs w:val="21"/>
              </w:rPr>
            </w:pPr>
            <w:r>
              <w:rPr>
                <w:rFonts w:hint="eastAsia" w:ascii="宋体" w:hAnsi="宋体" w:eastAsia="宋体" w:cs="宋体"/>
                <w:szCs w:val="21"/>
              </w:rPr>
              <w:t>项</w:t>
            </w:r>
          </w:p>
        </w:tc>
        <w:tc>
          <w:tcPr>
            <w:tcW w:w="398" w:type="pct"/>
            <w:tcBorders>
              <w:top w:val="nil"/>
              <w:left w:val="nil"/>
              <w:bottom w:val="single" w:color="auto" w:sz="4" w:space="0"/>
              <w:right w:val="single" w:color="auto" w:sz="4" w:space="0"/>
            </w:tcBorders>
            <w:vAlign w:val="center"/>
          </w:tcPr>
          <w:p>
            <w:pPr>
              <w:widowControl/>
              <w:spacing w:line="300" w:lineRule="auto"/>
              <w:jc w:val="center"/>
              <w:rPr>
                <w:rFonts w:ascii="宋体" w:hAnsi="宋体" w:eastAsia="宋体" w:cs="宋体"/>
                <w:szCs w:val="21"/>
              </w:rPr>
            </w:pPr>
            <w:r>
              <w:rPr>
                <w:rFonts w:hint="eastAsia" w:ascii="宋体" w:hAnsi="宋体" w:eastAsia="宋体" w:cs="宋体"/>
                <w:szCs w:val="21"/>
              </w:rPr>
              <w:t>1</w:t>
            </w:r>
          </w:p>
        </w:tc>
        <w:tc>
          <w:tcPr>
            <w:tcW w:w="768" w:type="pct"/>
            <w:tcBorders>
              <w:top w:val="single" w:color="auto" w:sz="4" w:space="0"/>
              <w:left w:val="nil"/>
              <w:bottom w:val="single" w:color="auto" w:sz="4" w:space="0"/>
              <w:right w:val="single" w:color="auto" w:sz="4" w:space="0"/>
            </w:tcBorders>
            <w:vAlign w:val="center"/>
          </w:tcPr>
          <w:p>
            <w:pPr>
              <w:widowControl/>
              <w:spacing w:line="300" w:lineRule="auto"/>
              <w:jc w:val="center"/>
              <w:rPr>
                <w:rFonts w:ascii="宋体" w:hAnsi="宋体" w:eastAsia="宋体" w:cs="宋体"/>
                <w:szCs w:val="21"/>
              </w:rPr>
            </w:pPr>
          </w:p>
        </w:tc>
        <w:tc>
          <w:tcPr>
            <w:tcW w:w="768" w:type="pct"/>
            <w:tcBorders>
              <w:top w:val="single" w:color="auto" w:sz="4" w:space="0"/>
              <w:left w:val="nil"/>
              <w:bottom w:val="single" w:color="auto" w:sz="4" w:space="0"/>
              <w:right w:val="single" w:color="auto" w:sz="4" w:space="0"/>
            </w:tcBorders>
            <w:vAlign w:val="center"/>
          </w:tcPr>
          <w:p>
            <w:pPr>
              <w:widowControl/>
              <w:spacing w:line="300" w:lineRule="auto"/>
              <w:jc w:val="center"/>
              <w:rPr>
                <w:rFonts w:ascii="宋体" w:hAnsi="宋体" w:eastAsia="宋体" w:cs="宋体"/>
                <w:szCs w:val="21"/>
              </w:rPr>
            </w:pPr>
          </w:p>
        </w:tc>
        <w:tc>
          <w:tcPr>
            <w:tcW w:w="760" w:type="pct"/>
            <w:tcBorders>
              <w:top w:val="nil"/>
              <w:left w:val="nil"/>
              <w:bottom w:val="single" w:color="auto" w:sz="4" w:space="0"/>
              <w:right w:val="single" w:color="auto" w:sz="4" w:space="0"/>
            </w:tcBorders>
            <w:vAlign w:val="center"/>
          </w:tcPr>
          <w:p>
            <w:pPr>
              <w:widowControl/>
              <w:spacing w:line="300" w:lineRule="auto"/>
              <w:rPr>
                <w:rFonts w:ascii="宋体" w:hAnsi="宋体" w:eastAsia="宋体" w:cs="宋体"/>
                <w:szCs w:val="21"/>
              </w:rPr>
            </w:pPr>
            <w:r>
              <w:rPr>
                <w:rFonts w:hint="eastAsia" w:ascii="宋体" w:hAnsi="宋体" w:eastAsia="宋体" w:cs="宋体"/>
                <w:szCs w:val="21"/>
              </w:rPr>
              <w:t>总价承包</w:t>
            </w:r>
          </w:p>
        </w:tc>
      </w:tr>
      <w:tr>
        <w:tblPrEx>
          <w:tblCellMar>
            <w:top w:w="0" w:type="dxa"/>
            <w:left w:w="108" w:type="dxa"/>
            <w:bottom w:w="0" w:type="dxa"/>
            <w:right w:w="108" w:type="dxa"/>
          </w:tblCellMar>
        </w:tblPrEx>
        <w:trPr>
          <w:trHeight w:val="454" w:hRule="atLeast"/>
          <w:jc w:val="center"/>
        </w:trPr>
        <w:tc>
          <w:tcPr>
            <w:tcW w:w="643" w:type="pct"/>
            <w:tcBorders>
              <w:top w:val="nil"/>
              <w:left w:val="single" w:color="auto" w:sz="4" w:space="0"/>
              <w:bottom w:val="single" w:color="auto" w:sz="4" w:space="0"/>
              <w:right w:val="single" w:color="auto" w:sz="4" w:space="0"/>
            </w:tcBorders>
            <w:vAlign w:val="center"/>
          </w:tcPr>
          <w:p>
            <w:pPr>
              <w:widowControl/>
              <w:spacing w:line="300" w:lineRule="auto"/>
              <w:jc w:val="center"/>
              <w:rPr>
                <w:rFonts w:ascii="宋体" w:hAnsi="宋体" w:eastAsia="宋体" w:cs="宋体"/>
                <w:szCs w:val="21"/>
              </w:rPr>
            </w:pPr>
            <w:r>
              <w:rPr>
                <w:rFonts w:hint="eastAsia" w:ascii="宋体" w:hAnsi="宋体" w:eastAsia="宋体" w:cs="宋体"/>
                <w:szCs w:val="21"/>
              </w:rPr>
              <w:t>3</w:t>
            </w:r>
          </w:p>
        </w:tc>
        <w:tc>
          <w:tcPr>
            <w:tcW w:w="1155" w:type="pct"/>
            <w:tcBorders>
              <w:top w:val="nil"/>
              <w:left w:val="nil"/>
              <w:bottom w:val="single" w:color="auto" w:sz="4" w:space="0"/>
              <w:right w:val="single" w:color="auto" w:sz="4" w:space="0"/>
            </w:tcBorders>
            <w:vAlign w:val="center"/>
          </w:tcPr>
          <w:p>
            <w:pPr>
              <w:widowControl/>
              <w:spacing w:line="300" w:lineRule="auto"/>
              <w:rPr>
                <w:rFonts w:ascii="宋体" w:hAnsi="宋体" w:eastAsia="宋体" w:cs="宋体"/>
                <w:szCs w:val="21"/>
              </w:rPr>
            </w:pPr>
            <w:r>
              <w:rPr>
                <w:rFonts w:hint="eastAsia" w:ascii="宋体" w:hAnsi="宋体" w:eastAsia="宋体" w:cs="宋体"/>
                <w:szCs w:val="21"/>
              </w:rPr>
              <w:t>报告审查</w:t>
            </w:r>
          </w:p>
        </w:tc>
        <w:tc>
          <w:tcPr>
            <w:tcW w:w="508" w:type="pct"/>
            <w:tcBorders>
              <w:top w:val="nil"/>
              <w:left w:val="nil"/>
              <w:bottom w:val="single" w:color="auto" w:sz="4" w:space="0"/>
              <w:right w:val="single" w:color="auto" w:sz="4" w:space="0"/>
            </w:tcBorders>
            <w:vAlign w:val="center"/>
          </w:tcPr>
          <w:p>
            <w:pPr>
              <w:widowControl/>
              <w:spacing w:line="300" w:lineRule="auto"/>
              <w:jc w:val="center"/>
              <w:rPr>
                <w:rFonts w:ascii="宋体" w:hAnsi="宋体" w:eastAsia="宋体" w:cs="宋体"/>
                <w:szCs w:val="21"/>
              </w:rPr>
            </w:pPr>
            <w:r>
              <w:rPr>
                <w:rFonts w:hint="eastAsia" w:ascii="宋体" w:hAnsi="宋体" w:eastAsia="宋体" w:cs="宋体"/>
                <w:szCs w:val="21"/>
              </w:rPr>
              <w:t>项</w:t>
            </w:r>
          </w:p>
        </w:tc>
        <w:tc>
          <w:tcPr>
            <w:tcW w:w="398" w:type="pct"/>
            <w:tcBorders>
              <w:top w:val="nil"/>
              <w:left w:val="nil"/>
              <w:bottom w:val="single" w:color="auto" w:sz="4" w:space="0"/>
              <w:right w:val="single" w:color="auto" w:sz="4" w:space="0"/>
            </w:tcBorders>
            <w:vAlign w:val="center"/>
          </w:tcPr>
          <w:p>
            <w:pPr>
              <w:widowControl/>
              <w:spacing w:line="300" w:lineRule="auto"/>
              <w:jc w:val="center"/>
              <w:rPr>
                <w:rFonts w:ascii="宋体" w:hAnsi="宋体" w:eastAsia="宋体" w:cs="宋体"/>
                <w:szCs w:val="21"/>
              </w:rPr>
            </w:pPr>
            <w:r>
              <w:rPr>
                <w:rFonts w:hint="eastAsia" w:ascii="宋体" w:hAnsi="宋体" w:eastAsia="宋体" w:cs="宋体"/>
                <w:szCs w:val="21"/>
              </w:rPr>
              <w:t>1</w:t>
            </w:r>
          </w:p>
        </w:tc>
        <w:tc>
          <w:tcPr>
            <w:tcW w:w="768" w:type="pct"/>
            <w:tcBorders>
              <w:top w:val="single" w:color="auto" w:sz="4" w:space="0"/>
              <w:left w:val="nil"/>
              <w:bottom w:val="single" w:color="auto" w:sz="4" w:space="0"/>
              <w:right w:val="single" w:color="auto" w:sz="4" w:space="0"/>
            </w:tcBorders>
            <w:vAlign w:val="center"/>
          </w:tcPr>
          <w:p>
            <w:pPr>
              <w:widowControl/>
              <w:spacing w:line="300" w:lineRule="auto"/>
              <w:jc w:val="center"/>
              <w:rPr>
                <w:rFonts w:ascii="宋体" w:hAnsi="宋体" w:eastAsia="宋体" w:cs="宋体"/>
                <w:szCs w:val="21"/>
              </w:rPr>
            </w:pPr>
          </w:p>
        </w:tc>
        <w:tc>
          <w:tcPr>
            <w:tcW w:w="768" w:type="pct"/>
            <w:tcBorders>
              <w:top w:val="single" w:color="auto" w:sz="4" w:space="0"/>
              <w:left w:val="nil"/>
              <w:bottom w:val="single" w:color="auto" w:sz="4" w:space="0"/>
              <w:right w:val="single" w:color="auto" w:sz="4" w:space="0"/>
            </w:tcBorders>
            <w:vAlign w:val="center"/>
          </w:tcPr>
          <w:p>
            <w:pPr>
              <w:widowControl/>
              <w:spacing w:line="300" w:lineRule="auto"/>
              <w:jc w:val="center"/>
              <w:rPr>
                <w:rFonts w:ascii="宋体" w:hAnsi="宋体" w:eastAsia="宋体" w:cs="宋体"/>
                <w:szCs w:val="21"/>
              </w:rPr>
            </w:pPr>
          </w:p>
        </w:tc>
        <w:tc>
          <w:tcPr>
            <w:tcW w:w="760" w:type="pct"/>
            <w:tcBorders>
              <w:top w:val="nil"/>
              <w:left w:val="nil"/>
              <w:bottom w:val="single" w:color="auto" w:sz="4" w:space="0"/>
              <w:right w:val="single" w:color="auto" w:sz="4" w:space="0"/>
            </w:tcBorders>
            <w:vAlign w:val="center"/>
          </w:tcPr>
          <w:p>
            <w:pPr>
              <w:widowControl/>
              <w:spacing w:line="300" w:lineRule="auto"/>
              <w:rPr>
                <w:rFonts w:ascii="宋体" w:hAnsi="宋体" w:eastAsia="宋体" w:cs="宋体"/>
                <w:szCs w:val="21"/>
              </w:rPr>
            </w:pPr>
            <w:r>
              <w:rPr>
                <w:rFonts w:hint="eastAsia" w:ascii="宋体" w:hAnsi="宋体" w:eastAsia="宋体" w:cs="宋体"/>
                <w:szCs w:val="21"/>
              </w:rPr>
              <w:t>总价承包</w:t>
            </w:r>
          </w:p>
        </w:tc>
      </w:tr>
      <w:tr>
        <w:tblPrEx>
          <w:tblCellMar>
            <w:top w:w="0" w:type="dxa"/>
            <w:left w:w="108" w:type="dxa"/>
            <w:bottom w:w="0" w:type="dxa"/>
            <w:right w:w="108" w:type="dxa"/>
          </w:tblCellMar>
        </w:tblPrEx>
        <w:trPr>
          <w:trHeight w:val="540" w:hRule="atLeast"/>
          <w:jc w:val="center"/>
        </w:trPr>
        <w:tc>
          <w:tcPr>
            <w:tcW w:w="643" w:type="pct"/>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宋体" w:hAnsi="宋体" w:eastAsia="宋体" w:cs="宋体"/>
                <w:szCs w:val="21"/>
              </w:rPr>
            </w:pPr>
          </w:p>
        </w:tc>
        <w:tc>
          <w:tcPr>
            <w:tcW w:w="1155" w:type="pct"/>
            <w:tcBorders>
              <w:top w:val="single" w:color="auto" w:sz="4" w:space="0"/>
              <w:left w:val="nil"/>
              <w:bottom w:val="single" w:color="auto" w:sz="4" w:space="0"/>
              <w:right w:val="single" w:color="auto" w:sz="4" w:space="0"/>
            </w:tcBorders>
            <w:vAlign w:val="center"/>
          </w:tcPr>
          <w:p>
            <w:pPr>
              <w:widowControl/>
              <w:spacing w:line="300" w:lineRule="auto"/>
              <w:jc w:val="center"/>
              <w:rPr>
                <w:rFonts w:ascii="宋体" w:hAnsi="宋体" w:eastAsia="宋体" w:cs="宋体"/>
                <w:b/>
                <w:bCs/>
                <w:szCs w:val="21"/>
              </w:rPr>
            </w:pPr>
            <w:r>
              <w:rPr>
                <w:rFonts w:hint="eastAsia" w:ascii="宋体" w:hAnsi="宋体" w:eastAsia="宋体" w:cs="宋体"/>
                <w:b/>
                <w:bCs/>
                <w:szCs w:val="21"/>
              </w:rPr>
              <w:t>投标总报价</w:t>
            </w:r>
          </w:p>
        </w:tc>
        <w:tc>
          <w:tcPr>
            <w:tcW w:w="3202" w:type="pct"/>
            <w:gridSpan w:val="5"/>
            <w:tcBorders>
              <w:top w:val="single" w:color="auto" w:sz="4" w:space="0"/>
              <w:left w:val="nil"/>
              <w:bottom w:val="single" w:color="auto" w:sz="4" w:space="0"/>
              <w:right w:val="single" w:color="auto" w:sz="4" w:space="0"/>
            </w:tcBorders>
          </w:tcPr>
          <w:p>
            <w:pPr>
              <w:widowControl/>
              <w:spacing w:line="300" w:lineRule="auto"/>
              <w:rPr>
                <w:rFonts w:ascii="宋体" w:hAnsi="宋体" w:eastAsia="宋体" w:cs="宋体"/>
                <w:b/>
                <w:bCs/>
                <w:szCs w:val="21"/>
              </w:rPr>
            </w:pPr>
          </w:p>
        </w:tc>
      </w:tr>
    </w:tbl>
    <w:p>
      <w:pPr>
        <w:snapToGrid w:val="0"/>
        <w:spacing w:beforeLines="100" w:line="360" w:lineRule="auto"/>
        <w:ind w:firstLine="420" w:firstLineChars="200"/>
        <w:rPr>
          <w:rFonts w:ascii="宋体" w:hAnsi="宋体" w:eastAsia="宋体" w:cs="宋体"/>
          <w:sz w:val="21"/>
          <w:szCs w:val="21"/>
        </w:rPr>
      </w:pPr>
      <w:r>
        <w:rPr>
          <w:rFonts w:hint="eastAsia" w:ascii="宋体" w:hAnsi="宋体" w:eastAsia="宋体" w:cs="宋体"/>
          <w:sz w:val="21"/>
          <w:szCs w:val="21"/>
        </w:rPr>
        <w:t>报价表各子项均应按照下表格式编制分解表，每一项目分别填写一份，项目编号和名称应与报价表一致。</w:t>
      </w:r>
    </w:p>
    <w:p>
      <w:pPr>
        <w:spacing w:line="360" w:lineRule="auto"/>
        <w:jc w:val="center"/>
        <w:rPr>
          <w:rFonts w:eastAsia="等线"/>
          <w:b/>
        </w:rPr>
      </w:pPr>
    </w:p>
    <w:p>
      <w:pPr>
        <w:spacing w:line="360" w:lineRule="auto"/>
        <w:jc w:val="center"/>
        <w:rPr>
          <w:rFonts w:eastAsia="等线"/>
          <w:b/>
        </w:rPr>
      </w:pPr>
    </w:p>
    <w:p>
      <w:pPr>
        <w:spacing w:line="360" w:lineRule="auto"/>
        <w:jc w:val="center"/>
        <w:rPr>
          <w:rFonts w:eastAsia="等线"/>
          <w:b/>
        </w:rPr>
      </w:pPr>
    </w:p>
    <w:p>
      <w:pPr>
        <w:spacing w:line="360" w:lineRule="auto"/>
        <w:jc w:val="center"/>
        <w:rPr>
          <w:rFonts w:eastAsia="等线"/>
          <w:b/>
        </w:rPr>
      </w:pPr>
    </w:p>
    <w:p>
      <w:pPr>
        <w:spacing w:line="360" w:lineRule="auto"/>
        <w:jc w:val="center"/>
        <w:rPr>
          <w:rFonts w:eastAsia="等线"/>
          <w:b/>
        </w:rPr>
      </w:pPr>
    </w:p>
    <w:p>
      <w:pPr>
        <w:spacing w:line="360" w:lineRule="auto"/>
        <w:jc w:val="center"/>
        <w:rPr>
          <w:rFonts w:eastAsia="等线"/>
          <w:b/>
        </w:rPr>
      </w:pPr>
    </w:p>
    <w:p>
      <w:pPr>
        <w:spacing w:line="360" w:lineRule="auto"/>
        <w:jc w:val="center"/>
        <w:rPr>
          <w:rFonts w:eastAsia="等线"/>
          <w:b/>
        </w:rPr>
      </w:pPr>
    </w:p>
    <w:p>
      <w:pPr>
        <w:spacing w:line="360" w:lineRule="auto"/>
        <w:jc w:val="center"/>
        <w:rPr>
          <w:rFonts w:eastAsia="等线"/>
          <w:b/>
        </w:rPr>
      </w:pPr>
    </w:p>
    <w:p>
      <w:pPr>
        <w:spacing w:line="360" w:lineRule="auto"/>
        <w:jc w:val="center"/>
        <w:rPr>
          <w:rFonts w:eastAsia="等线"/>
          <w:b/>
        </w:rPr>
      </w:pPr>
    </w:p>
    <w:p>
      <w:pPr>
        <w:spacing w:line="360" w:lineRule="auto"/>
        <w:jc w:val="center"/>
        <w:rPr>
          <w:rFonts w:eastAsia="等线"/>
          <w:b/>
        </w:rPr>
      </w:pPr>
    </w:p>
    <w:p>
      <w:pPr>
        <w:spacing w:line="360" w:lineRule="auto"/>
        <w:jc w:val="center"/>
        <w:rPr>
          <w:rFonts w:eastAsia="等线"/>
          <w:b/>
        </w:rPr>
      </w:pPr>
    </w:p>
    <w:p>
      <w:pPr>
        <w:spacing w:line="360" w:lineRule="auto"/>
        <w:jc w:val="center"/>
        <w:rPr>
          <w:rFonts w:eastAsia="等线"/>
          <w:b/>
        </w:rPr>
      </w:pPr>
    </w:p>
    <w:p>
      <w:pPr>
        <w:spacing w:line="360" w:lineRule="auto"/>
        <w:jc w:val="center"/>
        <w:rPr>
          <w:rFonts w:eastAsia="等线"/>
          <w:b/>
        </w:rPr>
      </w:pPr>
    </w:p>
    <w:p>
      <w:pPr>
        <w:spacing w:line="360" w:lineRule="auto"/>
        <w:jc w:val="center"/>
        <w:rPr>
          <w:rFonts w:eastAsia="等线"/>
          <w:b/>
        </w:rPr>
      </w:pPr>
    </w:p>
    <w:p>
      <w:pPr>
        <w:spacing w:line="360" w:lineRule="auto"/>
        <w:jc w:val="center"/>
        <w:rPr>
          <w:rFonts w:eastAsia="等线"/>
          <w:b/>
        </w:rPr>
      </w:pPr>
    </w:p>
    <w:p>
      <w:pPr>
        <w:spacing w:line="360" w:lineRule="auto"/>
        <w:jc w:val="center"/>
        <w:rPr>
          <w:rFonts w:eastAsia="等线"/>
          <w:b/>
        </w:rPr>
      </w:pPr>
    </w:p>
    <w:p>
      <w:pPr>
        <w:spacing w:line="360" w:lineRule="auto"/>
        <w:jc w:val="center"/>
        <w:rPr>
          <w:rFonts w:eastAsia="等线"/>
          <w:b/>
        </w:rPr>
      </w:pPr>
    </w:p>
    <w:p>
      <w:pPr>
        <w:spacing w:line="360" w:lineRule="auto"/>
        <w:jc w:val="center"/>
        <w:rPr>
          <w:rFonts w:eastAsia="等线"/>
          <w:b/>
        </w:rPr>
      </w:pPr>
    </w:p>
    <w:p>
      <w:pPr>
        <w:spacing w:line="360" w:lineRule="auto"/>
        <w:jc w:val="center"/>
        <w:rPr>
          <w:rFonts w:eastAsia="等线"/>
          <w:b/>
        </w:rPr>
      </w:pPr>
    </w:p>
    <w:p>
      <w:pPr>
        <w:spacing w:line="360" w:lineRule="auto"/>
        <w:jc w:val="center"/>
        <w:rPr>
          <w:rFonts w:eastAsia="等线"/>
          <w:b/>
        </w:rPr>
      </w:pPr>
    </w:p>
    <w:p>
      <w:pPr>
        <w:spacing w:line="360" w:lineRule="auto"/>
        <w:jc w:val="center"/>
        <w:rPr>
          <w:rFonts w:eastAsia="等线"/>
          <w:b/>
        </w:rPr>
      </w:pPr>
    </w:p>
    <w:p>
      <w:pPr>
        <w:spacing w:line="360" w:lineRule="auto"/>
        <w:jc w:val="center"/>
        <w:rPr>
          <w:rFonts w:eastAsia="等线"/>
          <w:b/>
        </w:rPr>
      </w:pPr>
    </w:p>
    <w:p>
      <w:pPr>
        <w:spacing w:line="360" w:lineRule="auto"/>
        <w:jc w:val="center"/>
        <w:rPr>
          <w:rFonts w:eastAsia="等线"/>
          <w:b/>
        </w:rPr>
      </w:pPr>
    </w:p>
    <w:p>
      <w:pPr>
        <w:spacing w:line="360" w:lineRule="auto"/>
        <w:jc w:val="center"/>
        <w:rPr>
          <w:rFonts w:eastAsia="等线"/>
          <w:b/>
        </w:rPr>
      </w:pPr>
    </w:p>
    <w:p>
      <w:pPr>
        <w:spacing w:line="360" w:lineRule="auto"/>
        <w:jc w:val="center"/>
        <w:rPr>
          <w:rFonts w:eastAsia="等线"/>
          <w:b/>
        </w:rPr>
      </w:pPr>
    </w:p>
    <w:p>
      <w:pPr>
        <w:spacing w:line="360" w:lineRule="auto"/>
        <w:jc w:val="center"/>
        <w:rPr>
          <w:rFonts w:eastAsia="等线"/>
        </w:rPr>
      </w:pPr>
      <w:r>
        <w:rPr>
          <w:rFonts w:hint="eastAsia" w:eastAsia="等线"/>
          <w:b/>
        </w:rPr>
        <w:t>分项报价表（格式）</w:t>
      </w:r>
    </w:p>
    <w:p>
      <w:pPr>
        <w:ind w:right="120"/>
        <w:jc w:val="right"/>
        <w:rPr>
          <w:rFonts w:ascii="宋体" w:hAnsi="宋体" w:eastAsia="宋体" w:cs="宋体"/>
        </w:rPr>
      </w:pPr>
      <w:r>
        <w:rPr>
          <w:rFonts w:hint="eastAsia" w:ascii="宋体" w:hAnsi="宋体" w:eastAsia="宋体" w:cs="宋体"/>
          <w:b/>
          <w:bCs/>
          <w:szCs w:val="21"/>
        </w:rPr>
        <w:t>单位：人民币元</w:t>
      </w:r>
    </w:p>
    <w:tbl>
      <w:tblPr>
        <w:tblStyle w:val="48"/>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73"/>
        <w:gridCol w:w="2983"/>
        <w:gridCol w:w="1013"/>
        <w:gridCol w:w="1157"/>
        <w:gridCol w:w="1607"/>
        <w:gridCol w:w="1013"/>
        <w:gridCol w:w="11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9" w:hRule="atLeast"/>
          <w:jc w:val="center"/>
        </w:trPr>
        <w:tc>
          <w:tcPr>
            <w:tcW w:w="397"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rFonts w:ascii="宋体" w:hAnsi="宋体" w:cs="宋体"/>
                <w:b/>
                <w:szCs w:val="21"/>
              </w:rPr>
            </w:pPr>
            <w:r>
              <w:rPr>
                <w:rFonts w:hint="eastAsia" w:ascii="宋体" w:hAnsi="宋体" w:cs="宋体"/>
                <w:b/>
                <w:szCs w:val="21"/>
              </w:rPr>
              <w:t>编号</w:t>
            </w:r>
          </w:p>
        </w:tc>
        <w:tc>
          <w:tcPr>
            <w:tcW w:w="1531"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rFonts w:ascii="宋体" w:hAnsi="宋体" w:cs="宋体"/>
                <w:b/>
                <w:szCs w:val="21"/>
              </w:rPr>
            </w:pPr>
            <w:r>
              <w:rPr>
                <w:rFonts w:hint="eastAsia" w:ascii="宋体" w:hAnsi="宋体" w:cs="宋体"/>
                <w:b/>
                <w:szCs w:val="21"/>
              </w:rPr>
              <w:t>项目名称</w:t>
            </w:r>
          </w:p>
        </w:tc>
        <w:tc>
          <w:tcPr>
            <w:tcW w:w="520"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rFonts w:ascii="宋体" w:hAnsi="宋体" w:cs="宋体"/>
                <w:b/>
                <w:szCs w:val="21"/>
              </w:rPr>
            </w:pPr>
            <w:r>
              <w:rPr>
                <w:rFonts w:hint="eastAsia" w:ascii="宋体" w:hAnsi="宋体" w:cs="宋体"/>
                <w:b/>
                <w:szCs w:val="21"/>
              </w:rPr>
              <w:t>单位</w:t>
            </w:r>
          </w:p>
        </w:tc>
        <w:tc>
          <w:tcPr>
            <w:tcW w:w="594"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rFonts w:ascii="宋体" w:hAnsi="宋体" w:cs="宋体"/>
                <w:b/>
                <w:szCs w:val="21"/>
              </w:rPr>
            </w:pPr>
            <w:r>
              <w:rPr>
                <w:rFonts w:hint="eastAsia" w:ascii="宋体" w:hAnsi="宋体" w:cs="宋体"/>
                <w:b/>
                <w:szCs w:val="21"/>
              </w:rPr>
              <w:t>数量</w:t>
            </w:r>
          </w:p>
        </w:tc>
        <w:tc>
          <w:tcPr>
            <w:tcW w:w="825"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rFonts w:ascii="宋体" w:hAnsi="宋体" w:cs="宋体"/>
                <w:b/>
                <w:szCs w:val="21"/>
              </w:rPr>
            </w:pPr>
            <w:r>
              <w:rPr>
                <w:rFonts w:hint="eastAsia" w:ascii="宋体" w:hAnsi="宋体" w:cs="宋体"/>
                <w:b/>
                <w:szCs w:val="21"/>
              </w:rPr>
              <w:t>单价</w:t>
            </w:r>
          </w:p>
        </w:tc>
        <w:tc>
          <w:tcPr>
            <w:tcW w:w="520"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rFonts w:ascii="宋体" w:hAnsi="宋体" w:cs="宋体"/>
                <w:b/>
                <w:szCs w:val="21"/>
              </w:rPr>
            </w:pPr>
            <w:r>
              <w:rPr>
                <w:rFonts w:hint="eastAsia" w:ascii="宋体" w:hAnsi="宋体" w:cs="宋体"/>
                <w:b/>
                <w:szCs w:val="21"/>
              </w:rPr>
              <w:t>合价</w:t>
            </w:r>
          </w:p>
        </w:tc>
        <w:tc>
          <w:tcPr>
            <w:tcW w:w="613"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rFonts w:ascii="宋体" w:hAnsi="宋体" w:cs="宋体"/>
                <w:b/>
                <w:szCs w:val="21"/>
              </w:rPr>
            </w:pPr>
            <w:r>
              <w:rPr>
                <w:rFonts w:hint="eastAsia" w:ascii="宋体" w:hAnsi="宋体" w:cs="宋体"/>
                <w:b/>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397"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rFonts w:ascii="宋体" w:hAnsi="宋体" w:cs="宋体"/>
                <w:szCs w:val="21"/>
              </w:rPr>
            </w:pPr>
            <w:r>
              <w:rPr>
                <w:rFonts w:hint="eastAsia" w:ascii="宋体" w:hAnsi="宋体" w:cs="宋体"/>
                <w:szCs w:val="21"/>
              </w:rPr>
              <w:t>1</w:t>
            </w:r>
          </w:p>
        </w:tc>
        <w:tc>
          <w:tcPr>
            <w:tcW w:w="1531"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rFonts w:ascii="宋体" w:hAnsi="宋体" w:cs="宋体"/>
                <w:szCs w:val="21"/>
              </w:rPr>
            </w:pPr>
            <w:r>
              <w:rPr>
                <w:rFonts w:hint="eastAsia" w:ascii="宋体" w:hAnsi="宋体" w:cs="宋体"/>
                <w:szCs w:val="21"/>
              </w:rPr>
              <w:t>人员费用</w:t>
            </w: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594"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825"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613"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397"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rFonts w:ascii="宋体" w:hAnsi="宋体" w:cs="宋体"/>
                <w:szCs w:val="21"/>
              </w:rPr>
            </w:pPr>
            <w:r>
              <w:rPr>
                <w:rFonts w:hint="eastAsia" w:ascii="宋体" w:hAnsi="宋体" w:cs="宋体"/>
                <w:szCs w:val="21"/>
              </w:rPr>
              <w:t>1.1</w:t>
            </w:r>
          </w:p>
        </w:tc>
        <w:tc>
          <w:tcPr>
            <w:tcW w:w="1531"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rFonts w:ascii="宋体" w:hAnsi="宋体" w:cs="宋体"/>
                <w:szCs w:val="21"/>
              </w:rPr>
            </w:pPr>
            <w:r>
              <w:rPr>
                <w:rFonts w:hint="eastAsia" w:ascii="宋体" w:hAnsi="宋体" w:cs="宋体"/>
                <w:szCs w:val="21"/>
              </w:rPr>
              <w:t>……</w:t>
            </w: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594"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825"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613"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6" w:hRule="atLeast"/>
          <w:jc w:val="center"/>
        </w:trPr>
        <w:tc>
          <w:tcPr>
            <w:tcW w:w="397"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rFonts w:ascii="宋体" w:hAnsi="宋体" w:cs="宋体"/>
                <w:szCs w:val="21"/>
              </w:rPr>
            </w:pPr>
            <w:r>
              <w:rPr>
                <w:rFonts w:hint="eastAsia" w:ascii="宋体" w:hAnsi="宋体" w:cs="宋体"/>
                <w:szCs w:val="21"/>
              </w:rPr>
              <w:t>……</w:t>
            </w:r>
          </w:p>
        </w:tc>
        <w:tc>
          <w:tcPr>
            <w:tcW w:w="1531"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rFonts w:ascii="宋体" w:hAnsi="宋体" w:cs="宋体"/>
                <w:szCs w:val="21"/>
              </w:rPr>
            </w:pPr>
            <w:r>
              <w:rPr>
                <w:rFonts w:hint="eastAsia" w:ascii="宋体" w:hAnsi="宋体" w:cs="宋体"/>
                <w:szCs w:val="21"/>
              </w:rPr>
              <w:t>……</w:t>
            </w: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594"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825"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613"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6" w:hRule="atLeast"/>
          <w:jc w:val="center"/>
        </w:trPr>
        <w:tc>
          <w:tcPr>
            <w:tcW w:w="397"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rFonts w:ascii="宋体" w:hAnsi="宋体" w:cs="宋体"/>
                <w:szCs w:val="21"/>
              </w:rPr>
            </w:pPr>
            <w:r>
              <w:rPr>
                <w:rFonts w:hint="eastAsia" w:ascii="宋体" w:hAnsi="宋体" w:cs="宋体"/>
                <w:szCs w:val="21"/>
              </w:rPr>
              <w:t>2</w:t>
            </w:r>
          </w:p>
        </w:tc>
        <w:tc>
          <w:tcPr>
            <w:tcW w:w="1531"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rFonts w:ascii="宋体" w:hAnsi="宋体" w:cs="宋体"/>
                <w:szCs w:val="21"/>
              </w:rPr>
            </w:pPr>
            <w:r>
              <w:rPr>
                <w:rFonts w:hint="eastAsia" w:ascii="宋体" w:hAnsi="宋体" w:cs="宋体"/>
                <w:szCs w:val="21"/>
              </w:rPr>
              <w:t>管理费及规费</w:t>
            </w: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594"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825"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613"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rFonts w:ascii="宋体" w:hAnsi="宋体" w:cs="宋体"/>
                <w:szCs w:val="21"/>
              </w:rPr>
            </w:pPr>
            <w:r>
              <w:rPr>
                <w:rFonts w:hint="eastAsia" w:ascii="宋体" w:hAnsi="宋体" w:cs="宋体"/>
                <w:szCs w:val="21"/>
              </w:rPr>
              <w:t>已包含城市维护建设税、教育附加及地方教育附加等。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397"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rFonts w:ascii="宋体" w:hAnsi="宋体" w:cs="宋体"/>
                <w:szCs w:val="21"/>
              </w:rPr>
            </w:pPr>
            <w:r>
              <w:rPr>
                <w:rFonts w:hint="eastAsia" w:ascii="宋体" w:hAnsi="宋体" w:cs="宋体"/>
                <w:szCs w:val="21"/>
              </w:rPr>
              <w:t>……</w:t>
            </w:r>
          </w:p>
        </w:tc>
        <w:tc>
          <w:tcPr>
            <w:tcW w:w="1531"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rFonts w:ascii="宋体" w:hAnsi="宋体" w:cs="宋体"/>
                <w:szCs w:val="21"/>
              </w:rPr>
            </w:pPr>
            <w:r>
              <w:rPr>
                <w:rFonts w:hint="eastAsia" w:ascii="宋体" w:hAnsi="宋体" w:cs="宋体"/>
                <w:szCs w:val="21"/>
              </w:rPr>
              <w:t>……</w:t>
            </w: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594"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825"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613"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6" w:hRule="atLeast"/>
          <w:jc w:val="center"/>
        </w:trPr>
        <w:tc>
          <w:tcPr>
            <w:tcW w:w="397"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rFonts w:ascii="宋体" w:hAnsi="宋体" w:cs="宋体"/>
                <w:szCs w:val="21"/>
              </w:rPr>
            </w:pPr>
            <w:r>
              <w:rPr>
                <w:rFonts w:hint="eastAsia" w:ascii="宋体" w:hAnsi="宋体" w:cs="宋体"/>
                <w:szCs w:val="21"/>
              </w:rPr>
              <w:t>3</w:t>
            </w:r>
          </w:p>
        </w:tc>
        <w:tc>
          <w:tcPr>
            <w:tcW w:w="1531"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rFonts w:ascii="宋体" w:hAnsi="宋体" w:cs="宋体"/>
                <w:szCs w:val="21"/>
              </w:rPr>
            </w:pPr>
            <w:r>
              <w:rPr>
                <w:rFonts w:hint="eastAsia" w:ascii="宋体" w:hAnsi="宋体" w:cs="宋体"/>
                <w:szCs w:val="21"/>
              </w:rPr>
              <w:t>利润</w:t>
            </w: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594"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825"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613"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397"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rFonts w:ascii="宋体" w:hAnsi="宋体" w:cs="宋体"/>
                <w:szCs w:val="21"/>
              </w:rPr>
            </w:pPr>
            <w:r>
              <w:rPr>
                <w:rFonts w:hint="eastAsia" w:ascii="宋体" w:hAnsi="宋体" w:cs="宋体"/>
                <w:szCs w:val="21"/>
              </w:rPr>
              <w:t>4</w:t>
            </w:r>
          </w:p>
        </w:tc>
        <w:tc>
          <w:tcPr>
            <w:tcW w:w="1531"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rFonts w:ascii="宋体" w:hAnsi="宋体" w:cs="宋体"/>
                <w:szCs w:val="21"/>
              </w:rPr>
            </w:pPr>
            <w:r>
              <w:rPr>
                <w:rFonts w:hint="eastAsia" w:ascii="宋体" w:hAnsi="宋体" w:cs="宋体"/>
                <w:szCs w:val="21"/>
              </w:rPr>
              <w:t>税前总价</w:t>
            </w: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594"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825"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613"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397"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rFonts w:ascii="宋体" w:hAnsi="宋体" w:cs="宋体"/>
                <w:szCs w:val="21"/>
              </w:rPr>
            </w:pPr>
            <w:r>
              <w:rPr>
                <w:rFonts w:hint="eastAsia" w:ascii="宋体" w:hAnsi="宋体" w:cs="宋体"/>
                <w:szCs w:val="21"/>
              </w:rPr>
              <w:t>5</w:t>
            </w:r>
          </w:p>
        </w:tc>
        <w:tc>
          <w:tcPr>
            <w:tcW w:w="1531"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rFonts w:ascii="宋体" w:hAnsi="宋体" w:cs="宋体"/>
                <w:szCs w:val="21"/>
              </w:rPr>
            </w:pPr>
            <w:r>
              <w:rPr>
                <w:rFonts w:hint="eastAsia" w:ascii="宋体" w:hAnsi="宋体" w:cs="宋体"/>
                <w:szCs w:val="21"/>
              </w:rPr>
              <w:t>增值税销项税额</w:t>
            </w: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594"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825"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613"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6" w:hRule="atLeast"/>
          <w:jc w:val="center"/>
        </w:trPr>
        <w:tc>
          <w:tcPr>
            <w:tcW w:w="397"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rFonts w:ascii="宋体" w:hAnsi="宋体" w:cs="宋体"/>
                <w:szCs w:val="21"/>
              </w:rPr>
            </w:pPr>
            <w:r>
              <w:rPr>
                <w:rFonts w:hint="eastAsia" w:ascii="宋体" w:hAnsi="宋体" w:cs="宋体"/>
                <w:szCs w:val="21"/>
              </w:rPr>
              <w:t>6</w:t>
            </w:r>
          </w:p>
        </w:tc>
        <w:tc>
          <w:tcPr>
            <w:tcW w:w="1531"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rFonts w:ascii="宋体" w:hAnsi="宋体" w:cs="宋体"/>
                <w:szCs w:val="21"/>
              </w:rPr>
            </w:pPr>
            <w:r>
              <w:rPr>
                <w:rFonts w:hint="eastAsia" w:ascii="宋体" w:hAnsi="宋体" w:cs="宋体"/>
                <w:szCs w:val="21"/>
              </w:rPr>
              <w:t>合计</w:t>
            </w: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594"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825"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p>
        </w:tc>
        <w:tc>
          <w:tcPr>
            <w:tcW w:w="613"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rFonts w:ascii="宋体" w:hAnsi="宋体" w:cs="宋体"/>
                <w:szCs w:val="21"/>
              </w:rPr>
            </w:pPr>
          </w:p>
        </w:tc>
      </w:tr>
    </w:tbl>
    <w:p>
      <w:pPr>
        <w:tabs>
          <w:tab w:val="left" w:pos="1204"/>
        </w:tabs>
        <w:spacing w:beforeLines="100" w:line="360" w:lineRule="auto"/>
        <w:ind w:firstLine="420" w:firstLineChars="200"/>
        <w:rPr>
          <w:rFonts w:ascii="宋体" w:hAnsi="宋体" w:eastAsia="宋体" w:cs="宋体"/>
          <w:sz w:val="21"/>
          <w:szCs w:val="21"/>
        </w:rPr>
      </w:pPr>
      <w:r>
        <w:rPr>
          <w:rFonts w:hint="eastAsia" w:ascii="宋体" w:hAnsi="宋体" w:eastAsia="宋体" w:cs="宋体"/>
          <w:sz w:val="21"/>
          <w:szCs w:val="21"/>
        </w:rPr>
        <w:t>备注：分项报价表中需详细列明各类岗位人月数、工时消耗数量及价格明细。投标人可根据实际情况将完成工作需发生的交通费、会议费、食宿费、咨询费等在分项报价表“管理费及规费”项前自行列报。</w:t>
      </w:r>
    </w:p>
    <w:p>
      <w:pPr>
        <w:pStyle w:val="2"/>
        <w:rPr>
          <w:rFonts w:ascii="宋体" w:hAnsi="宋体" w:eastAsia="宋体" w:cs="宋体"/>
        </w:rPr>
      </w:pPr>
    </w:p>
    <w:p>
      <w:pPr>
        <w:pStyle w:val="2"/>
        <w:rPr>
          <w:rFonts w:ascii="宋体" w:hAnsi="宋体" w:eastAsia="宋体" w:cs="宋体"/>
        </w:rPr>
      </w:pPr>
    </w:p>
    <w:p>
      <w:pPr>
        <w:wordWrap w:val="0"/>
        <w:spacing w:line="360" w:lineRule="auto"/>
        <w:ind w:firstLine="482" w:firstLineChars="200"/>
        <w:rPr>
          <w:rFonts w:eastAsia="宋体"/>
          <w:b/>
          <w:bCs/>
        </w:rPr>
      </w:pPr>
      <w:r>
        <w:rPr>
          <w:rFonts w:hint="eastAsia" w:eastAsia="宋体"/>
          <w:b/>
          <w:bCs/>
        </w:rPr>
        <w:t>说明：</w:t>
      </w:r>
    </w:p>
    <w:p>
      <w:pPr>
        <w:wordWrap w:val="0"/>
        <w:spacing w:line="360" w:lineRule="auto"/>
        <w:ind w:firstLine="480" w:firstLineChars="200"/>
        <w:rPr>
          <w:rFonts w:eastAsia="宋体"/>
        </w:rPr>
      </w:pPr>
      <w:r>
        <w:rPr>
          <w:rFonts w:eastAsia="宋体"/>
        </w:rPr>
        <w:t>1.1</w:t>
      </w:r>
      <w:r>
        <w:rPr>
          <w:rFonts w:hAnsi="宋体" w:eastAsia="宋体"/>
          <w:bCs/>
        </w:rPr>
        <w:t>本《投标报价表》应与投标人须知、合同条款、技术规范和技术条款等文件结合起来理解或解释或使用。</w:t>
      </w:r>
    </w:p>
    <w:p>
      <w:pPr>
        <w:wordWrap w:val="0"/>
        <w:spacing w:line="360" w:lineRule="auto"/>
        <w:ind w:firstLine="480" w:firstLineChars="200"/>
        <w:rPr>
          <w:rFonts w:eastAsia="宋体"/>
        </w:rPr>
      </w:pPr>
      <w:r>
        <w:rPr>
          <w:rFonts w:eastAsia="宋体"/>
        </w:rPr>
        <w:t>1.2</w:t>
      </w:r>
      <w:r>
        <w:rPr>
          <w:rFonts w:hAnsi="宋体" w:eastAsia="宋体"/>
        </w:rPr>
        <w:t>投标人应按下述表格所列项目和格式报价，本项目所有报价均应含于表格所列项目中并计入至投标总报价，不得对表格所列项目进行随意增减。</w:t>
      </w:r>
    </w:p>
    <w:p>
      <w:pPr>
        <w:wordWrap w:val="0"/>
        <w:spacing w:line="360" w:lineRule="auto"/>
        <w:ind w:firstLine="480" w:firstLineChars="200"/>
        <w:rPr>
          <w:rFonts w:eastAsia="宋体"/>
        </w:rPr>
      </w:pPr>
      <w:r>
        <w:rPr>
          <w:rFonts w:eastAsia="宋体"/>
        </w:rPr>
        <w:t>1.3</w:t>
      </w:r>
      <w:r>
        <w:rPr>
          <w:rFonts w:hAnsi="宋体" w:eastAsia="宋体"/>
        </w:rPr>
        <w:t>除合同另有规定外，投标人的投标报价应包含中标后履行合同义务和承担合同责任所需的全部成本、利润和税金，以及合同包括的所有风险等全部费用。</w:t>
      </w:r>
    </w:p>
    <w:p>
      <w:pPr>
        <w:wordWrap w:val="0"/>
        <w:spacing w:line="360" w:lineRule="auto"/>
        <w:ind w:firstLine="480" w:firstLineChars="200"/>
        <w:rPr>
          <w:rFonts w:eastAsia="宋体"/>
        </w:rPr>
      </w:pPr>
      <w:r>
        <w:rPr>
          <w:rFonts w:eastAsia="宋体"/>
        </w:rPr>
        <w:t>1.4</w:t>
      </w:r>
      <w:r>
        <w:rPr>
          <w:rFonts w:hAnsi="宋体" w:eastAsia="宋体"/>
        </w:rPr>
        <w:t>无论工作量是否列明，具有标价的《投标报价表》中的每一项均须填写单价或合价，对投标人没有填写单价或合价的项目费用，应视为已包含在《投标报价表》的其他单价或合价之中。</w:t>
      </w:r>
    </w:p>
    <w:p>
      <w:pPr>
        <w:wordWrap w:val="0"/>
        <w:spacing w:line="360" w:lineRule="auto"/>
        <w:ind w:firstLine="480" w:firstLineChars="200"/>
        <w:rPr>
          <w:rFonts w:eastAsia="宋体"/>
        </w:rPr>
      </w:pPr>
      <w:r>
        <w:rPr>
          <w:rFonts w:eastAsia="宋体"/>
        </w:rPr>
        <w:t>1.5</w:t>
      </w:r>
      <w:r>
        <w:rPr>
          <w:rFonts w:hAnsi="宋体" w:eastAsia="宋体"/>
        </w:rPr>
        <w:t>本项目采用固定总价形式，合同履行期间合同价格不予调整。对于报价人为完成本项目所必需却没有单独列项的费用，均应视为已包含在总报价中，委托人不另行支付。</w:t>
      </w:r>
    </w:p>
    <w:p>
      <w:pPr>
        <w:wordWrap w:val="0"/>
        <w:spacing w:line="360" w:lineRule="auto"/>
        <w:ind w:firstLine="480" w:firstLineChars="200"/>
        <w:rPr>
          <w:rFonts w:eastAsia="宋体"/>
        </w:rPr>
      </w:pPr>
      <w:r>
        <w:rPr>
          <w:rFonts w:eastAsia="宋体"/>
        </w:rPr>
        <w:t>1.6</w:t>
      </w:r>
      <w:r>
        <w:rPr>
          <w:rFonts w:hAnsi="宋体" w:eastAsia="宋体"/>
        </w:rPr>
        <w:t>投标人应根据本项目特点及复杂性，充分考虑与其他有关方的干扰和协调配合，其相应费用已包含在《投标报价表》报价中，委托人不另行支付。</w:t>
      </w:r>
    </w:p>
    <w:p>
      <w:pPr>
        <w:wordWrap w:val="0"/>
        <w:spacing w:line="360" w:lineRule="auto"/>
        <w:ind w:firstLine="480" w:firstLineChars="200"/>
        <w:rPr>
          <w:rFonts w:eastAsia="宋体"/>
        </w:rPr>
      </w:pPr>
      <w:r>
        <w:rPr>
          <w:rFonts w:eastAsia="宋体"/>
        </w:rPr>
        <w:t>1.7</w:t>
      </w:r>
      <w:r>
        <w:rPr>
          <w:rFonts w:hAnsi="宋体" w:eastAsia="宋体"/>
        </w:rPr>
        <w:t>《投标报价表》中各项报价均以人民币元为单位。</w:t>
      </w:r>
    </w:p>
    <w:p>
      <w:pPr>
        <w:wordWrap w:val="0"/>
        <w:spacing w:line="360" w:lineRule="auto"/>
        <w:ind w:firstLine="480" w:firstLineChars="200"/>
        <w:rPr>
          <w:rFonts w:eastAsia="宋体"/>
        </w:rPr>
      </w:pPr>
      <w:r>
        <w:rPr>
          <w:rFonts w:eastAsia="宋体"/>
        </w:rPr>
        <w:t>1.8</w:t>
      </w:r>
      <w:r>
        <w:rPr>
          <w:rFonts w:hAnsi="宋体" w:eastAsia="宋体"/>
        </w:rPr>
        <w:t>报价清单说明：</w:t>
      </w:r>
    </w:p>
    <w:p>
      <w:pPr>
        <w:wordWrap w:val="0"/>
        <w:spacing w:line="360" w:lineRule="auto"/>
        <w:ind w:firstLine="480" w:firstLineChars="200"/>
        <w:rPr>
          <w:rFonts w:eastAsia="宋体"/>
        </w:rPr>
      </w:pPr>
      <w:r>
        <w:rPr>
          <w:rFonts w:hAnsi="宋体" w:eastAsia="宋体"/>
        </w:rPr>
        <w:t>（</w:t>
      </w:r>
      <w:r>
        <w:rPr>
          <w:rFonts w:eastAsia="宋体"/>
        </w:rPr>
        <w:t>1</w:t>
      </w:r>
      <w:r>
        <w:rPr>
          <w:rFonts w:hAnsi="宋体" w:eastAsia="宋体"/>
        </w:rPr>
        <w:t>）进出场费：指合同生效后承包人组织人员和仪器设备进场和出场所发生的所有费用。</w:t>
      </w:r>
    </w:p>
    <w:p>
      <w:pPr>
        <w:wordWrap w:val="0"/>
        <w:spacing w:line="360" w:lineRule="auto"/>
        <w:ind w:firstLine="480" w:firstLineChars="200"/>
        <w:rPr>
          <w:rFonts w:eastAsia="宋体"/>
        </w:rPr>
      </w:pPr>
      <w:r>
        <w:rPr>
          <w:rFonts w:hAnsi="宋体" w:eastAsia="宋体"/>
        </w:rPr>
        <w:t>（</w:t>
      </w:r>
      <w:r>
        <w:rPr>
          <w:rFonts w:eastAsia="宋体"/>
        </w:rPr>
        <w:t>2</w:t>
      </w:r>
      <w:r>
        <w:rPr>
          <w:rFonts w:hAnsi="宋体" w:eastAsia="宋体"/>
        </w:rPr>
        <w:t>）人员经常费：指在项目实施过程中支付给项目实施人员的人工费用，包括各岗位人员的基本工资、辅助工资、按国家或地方规定应该计取的工资附加费等，其费用应结合承包人所在地域实际以及相关人员参与项目的工作时间等因素合理编制。</w:t>
      </w:r>
    </w:p>
    <w:p>
      <w:pPr>
        <w:wordWrap w:val="0"/>
        <w:spacing w:line="360" w:lineRule="auto"/>
        <w:ind w:firstLine="480" w:firstLineChars="200"/>
        <w:rPr>
          <w:rFonts w:eastAsia="宋体"/>
        </w:rPr>
      </w:pPr>
      <w:r>
        <w:rPr>
          <w:rFonts w:hAnsi="宋体" w:eastAsia="宋体"/>
        </w:rPr>
        <w:t>（</w:t>
      </w:r>
      <w:r>
        <w:rPr>
          <w:rFonts w:eastAsia="宋体"/>
        </w:rPr>
        <w:t>3</w:t>
      </w:r>
      <w:r>
        <w:rPr>
          <w:rFonts w:hAnsi="宋体" w:eastAsia="宋体"/>
        </w:rPr>
        <w:t>）现场办公费及差旅费：指合同履行过程中有关办公、文印、复印、通讯、公务差旅、交通、水电、培训、报刊资料，以及为保证安全作业所采用措施而发生的所有费用。</w:t>
      </w:r>
    </w:p>
    <w:p>
      <w:pPr>
        <w:wordWrap w:val="0"/>
        <w:spacing w:line="360" w:lineRule="auto"/>
        <w:ind w:firstLine="480" w:firstLineChars="200"/>
        <w:rPr>
          <w:rFonts w:eastAsia="宋体"/>
        </w:rPr>
      </w:pPr>
      <w:r>
        <w:rPr>
          <w:rFonts w:hAnsi="宋体" w:eastAsia="宋体"/>
        </w:rPr>
        <w:t>（</w:t>
      </w:r>
      <w:r>
        <w:rPr>
          <w:rFonts w:eastAsia="宋体"/>
        </w:rPr>
        <w:t>4</w:t>
      </w:r>
      <w:r>
        <w:rPr>
          <w:rFonts w:hAnsi="宋体" w:eastAsia="宋体"/>
        </w:rPr>
        <w:t>）设备、设施使用费：在合同履行过程中委托人不提供工作、生活条件，承包人为完成合同工作内容所需的工作条件均由其自行解决。项目实施过程中项目人员的生活、办公及生产用房，以及生活、办公及现场作业所需的设备设施、交通设备、测量仪器设备和检测仪器设备等均由承包人自备，合同履行结束后，上述设备设施的产权仍归承包人所有，因此其报价费用仅包含折旧费、维修保养费、安拆费、燃料动力费等所有设备、设施的使用费用或其租赁费用，不应计入残值。</w:t>
      </w:r>
    </w:p>
    <w:p>
      <w:pPr>
        <w:wordWrap w:val="0"/>
        <w:spacing w:line="360" w:lineRule="auto"/>
        <w:ind w:firstLine="480" w:firstLineChars="200"/>
        <w:rPr>
          <w:rFonts w:eastAsia="宋体"/>
        </w:rPr>
      </w:pPr>
      <w:r>
        <w:rPr>
          <w:rFonts w:hAnsi="宋体" w:eastAsia="宋体"/>
        </w:rPr>
        <w:t>（</w:t>
      </w:r>
      <w:r>
        <w:rPr>
          <w:rFonts w:eastAsia="宋体"/>
        </w:rPr>
        <w:t>5</w:t>
      </w:r>
      <w:r>
        <w:rPr>
          <w:rFonts w:hAnsi="宋体" w:eastAsia="宋体"/>
        </w:rPr>
        <w:t>）监测费：指补充开展环境监测所需要的费用。</w:t>
      </w:r>
    </w:p>
    <w:p>
      <w:pPr>
        <w:wordWrap w:val="0"/>
        <w:spacing w:line="360" w:lineRule="auto"/>
        <w:ind w:firstLine="480" w:firstLineChars="200"/>
        <w:rPr>
          <w:rFonts w:eastAsia="宋体"/>
        </w:rPr>
      </w:pPr>
      <w:r>
        <w:rPr>
          <w:rFonts w:hAnsi="宋体" w:eastAsia="宋体"/>
        </w:rPr>
        <w:t>（</w:t>
      </w:r>
      <w:r>
        <w:rPr>
          <w:rFonts w:eastAsia="宋体"/>
        </w:rPr>
        <w:t>6</w:t>
      </w:r>
      <w:r>
        <w:rPr>
          <w:rFonts w:hAnsi="宋体" w:eastAsia="宋体"/>
        </w:rPr>
        <w:t>）配合及协调费：指合同履行过程中承包人按照要求配合、协助、协调相关工作所发生的所有费用。</w:t>
      </w:r>
    </w:p>
    <w:p>
      <w:pPr>
        <w:wordWrap w:val="0"/>
        <w:spacing w:line="360" w:lineRule="auto"/>
        <w:ind w:firstLine="480" w:firstLineChars="200"/>
        <w:rPr>
          <w:rFonts w:eastAsia="宋体"/>
        </w:rPr>
      </w:pPr>
      <w:r>
        <w:rPr>
          <w:rFonts w:hAnsi="宋体" w:eastAsia="宋体"/>
        </w:rPr>
        <w:t>（</w:t>
      </w:r>
      <w:r>
        <w:rPr>
          <w:rFonts w:eastAsia="宋体"/>
        </w:rPr>
        <w:t>7</w:t>
      </w:r>
      <w:r>
        <w:rPr>
          <w:rFonts w:hAnsi="宋体" w:eastAsia="宋体"/>
        </w:rPr>
        <w:t>）会议费：指合同履行过程中承包人承办相关会议所发生的所有会务费用。其中由承包人负责承办的会议包括但不限于：咨询会议、评审会议、审查会议、座谈交流会、汇报会等。</w:t>
      </w:r>
    </w:p>
    <w:p>
      <w:pPr>
        <w:wordWrap w:val="0"/>
        <w:spacing w:line="360" w:lineRule="auto"/>
        <w:ind w:firstLine="480" w:firstLineChars="200"/>
        <w:rPr>
          <w:rFonts w:eastAsia="宋体"/>
        </w:rPr>
      </w:pPr>
      <w:r>
        <w:rPr>
          <w:rFonts w:hAnsi="宋体" w:eastAsia="宋体"/>
        </w:rPr>
        <w:t>（</w:t>
      </w:r>
      <w:r>
        <w:rPr>
          <w:rFonts w:eastAsia="宋体"/>
        </w:rPr>
        <w:t>8</w:t>
      </w:r>
      <w:r>
        <w:rPr>
          <w:rFonts w:hAnsi="宋体" w:eastAsia="宋体"/>
        </w:rPr>
        <w:t>）保险费：指承包人购买人员保险、设备保险等必要保险所发生的全部费用。</w:t>
      </w:r>
    </w:p>
    <w:p>
      <w:pPr>
        <w:wordWrap w:val="0"/>
        <w:spacing w:line="360" w:lineRule="auto"/>
        <w:ind w:firstLine="480" w:firstLineChars="200"/>
        <w:rPr>
          <w:rFonts w:eastAsia="宋体"/>
        </w:rPr>
      </w:pPr>
      <w:r>
        <w:rPr>
          <w:rFonts w:hAnsi="宋体" w:eastAsia="宋体"/>
        </w:rPr>
        <w:t>（</w:t>
      </w:r>
      <w:r>
        <w:rPr>
          <w:rFonts w:eastAsia="宋体"/>
        </w:rPr>
        <w:t>9</w:t>
      </w:r>
      <w:r>
        <w:rPr>
          <w:rFonts w:hAnsi="宋体" w:eastAsia="宋体"/>
        </w:rPr>
        <w:t>）管理费：项目现场发生的相关管理费已经包含在上述报价中，管理费报价中不再计列。此处管理费含</w:t>
      </w:r>
      <w:r>
        <w:rPr>
          <w:rFonts w:ascii="宋体" w:hAnsi="宋体" w:eastAsia="宋体"/>
        </w:rPr>
        <w:t>①</w:t>
      </w:r>
      <w:r>
        <w:rPr>
          <w:rFonts w:hAnsi="宋体" w:eastAsia="宋体"/>
        </w:rPr>
        <w:t>承包人摊销在本项目中的总部管理性费用，包括总部管理人员的工资、津贴、补贴及办公差旅费等；</w:t>
      </w:r>
      <w:r>
        <w:rPr>
          <w:rFonts w:ascii="宋体" w:hAnsi="宋体" w:eastAsia="宋体"/>
        </w:rPr>
        <w:t>②</w:t>
      </w:r>
      <w:r>
        <w:rPr>
          <w:rFonts w:hAnsi="宋体" w:eastAsia="宋体"/>
        </w:rPr>
        <w:t>城市维护建设税、教育费附加、地方教育费附加等。</w:t>
      </w:r>
    </w:p>
    <w:p>
      <w:pPr>
        <w:wordWrap w:val="0"/>
        <w:spacing w:line="360" w:lineRule="auto"/>
        <w:ind w:firstLine="480" w:firstLineChars="200"/>
        <w:rPr>
          <w:rFonts w:eastAsia="宋体"/>
        </w:rPr>
      </w:pPr>
      <w:r>
        <w:rPr>
          <w:rFonts w:hAnsi="宋体" w:eastAsia="宋体"/>
        </w:rPr>
        <w:t>（</w:t>
      </w:r>
      <w:r>
        <w:rPr>
          <w:rFonts w:eastAsia="宋体"/>
        </w:rPr>
        <w:t>10</w:t>
      </w:r>
      <w:r>
        <w:rPr>
          <w:rFonts w:hAnsi="宋体" w:eastAsia="宋体"/>
        </w:rPr>
        <w:t>）利润：指承包人完成本项目获得的合理盈利。</w:t>
      </w:r>
    </w:p>
    <w:p>
      <w:pPr>
        <w:wordWrap w:val="0"/>
        <w:spacing w:line="360" w:lineRule="auto"/>
        <w:ind w:firstLine="480" w:firstLineChars="200"/>
        <w:rPr>
          <w:rFonts w:eastAsia="宋体"/>
        </w:rPr>
      </w:pPr>
      <w:r>
        <w:rPr>
          <w:rFonts w:hAnsi="宋体" w:eastAsia="宋体"/>
        </w:rPr>
        <w:t>（</w:t>
      </w:r>
      <w:r>
        <w:rPr>
          <w:rFonts w:eastAsia="宋体"/>
        </w:rPr>
        <w:t>11</w:t>
      </w:r>
      <w:r>
        <w:rPr>
          <w:rFonts w:hAnsi="宋体" w:eastAsia="宋体"/>
        </w:rPr>
        <w:t>）本项目适用一般计税方法，增值税税率为</w:t>
      </w:r>
      <w:r>
        <w:rPr>
          <w:rFonts w:eastAsia="宋体"/>
        </w:rPr>
        <w:t>6%</w:t>
      </w:r>
      <w:r>
        <w:rPr>
          <w:rFonts w:hAnsi="宋体" w:eastAsia="宋体"/>
        </w:rPr>
        <w:t>；投标人应按照</w:t>
      </w:r>
      <w:r>
        <w:rPr>
          <w:rFonts w:eastAsia="宋体"/>
        </w:rPr>
        <w:t>“</w:t>
      </w:r>
      <w:r>
        <w:rPr>
          <w:rFonts w:hAnsi="宋体" w:eastAsia="宋体"/>
        </w:rPr>
        <w:t>价税分离</w:t>
      </w:r>
      <w:r>
        <w:rPr>
          <w:rFonts w:eastAsia="宋体"/>
        </w:rPr>
        <w:t>”</w:t>
      </w:r>
      <w:r>
        <w:rPr>
          <w:rFonts w:hAnsi="宋体" w:eastAsia="宋体"/>
        </w:rPr>
        <w:t>方式进行报价；城市维护建设税、教育费附加、地方教育费附加等含在管理费中；投标人应按照国家有关法律、法规和</w:t>
      </w:r>
      <w:r>
        <w:rPr>
          <w:rFonts w:eastAsia="宋体"/>
        </w:rPr>
        <w:t>“</w:t>
      </w:r>
      <w:r>
        <w:rPr>
          <w:rFonts w:hAnsi="宋体" w:eastAsia="宋体"/>
        </w:rPr>
        <w:t>营改增</w:t>
      </w:r>
      <w:r>
        <w:rPr>
          <w:rFonts w:eastAsia="宋体"/>
        </w:rPr>
        <w:t>”</w:t>
      </w:r>
      <w:r>
        <w:rPr>
          <w:rFonts w:hAnsi="宋体" w:eastAsia="宋体"/>
        </w:rPr>
        <w:t>政策的相关规定计取、缴纳税费，应缴纳的税费均包括在报价中；含增值税价格作为投标人评标价。</w:t>
      </w:r>
    </w:p>
    <w:p>
      <w:pPr>
        <w:spacing w:line="275" w:lineRule="exact"/>
        <w:rPr>
          <w:rFonts w:ascii="宋体" w:hAnsi="宋体" w:eastAsia="宋体" w:cs="宋体"/>
        </w:rPr>
        <w:sectPr>
          <w:pgSz w:w="11906" w:h="16838"/>
          <w:pgMar w:top="1134" w:right="1134" w:bottom="1134" w:left="1247" w:header="850" w:footer="992" w:gutter="0"/>
          <w:cols w:space="720" w:num="1"/>
        </w:sectPr>
      </w:pPr>
    </w:p>
    <w:p>
      <w:pPr>
        <w:pStyle w:val="4"/>
        <w:spacing w:line="240" w:lineRule="auto"/>
        <w:jc w:val="center"/>
        <w:rPr>
          <w:rFonts w:ascii="time" w:hAnsi="time"/>
          <w:szCs w:val="28"/>
        </w:rPr>
      </w:pPr>
      <w:bookmarkStart w:id="187" w:name="_Toc8766"/>
      <w:r>
        <w:rPr>
          <w:rFonts w:hint="eastAsia" w:ascii="time" w:hAnsi="time"/>
          <w:szCs w:val="28"/>
        </w:rPr>
        <w:t>五</w:t>
      </w:r>
      <w:r>
        <w:rPr>
          <w:rFonts w:ascii="time" w:hAnsi="time"/>
          <w:szCs w:val="28"/>
        </w:rPr>
        <w:t>、</w:t>
      </w:r>
      <w:r>
        <w:rPr>
          <w:rFonts w:hint="eastAsia" w:ascii="time" w:hAnsi="time"/>
          <w:szCs w:val="28"/>
        </w:rPr>
        <w:t>投标人资格证明</w:t>
      </w:r>
      <w:bookmarkEnd w:id="187"/>
    </w:p>
    <w:p>
      <w:pPr>
        <w:pStyle w:val="5"/>
        <w:spacing w:line="240" w:lineRule="auto"/>
        <w:ind w:firstLine="482"/>
        <w:jc w:val="center"/>
        <w:rPr>
          <w:rFonts w:ascii="time" w:hAnsi="time"/>
        </w:rPr>
      </w:pPr>
    </w:p>
    <w:p>
      <w:pPr>
        <w:pStyle w:val="5"/>
        <w:spacing w:line="240" w:lineRule="auto"/>
        <w:ind w:firstLine="482"/>
        <w:jc w:val="center"/>
        <w:rPr>
          <w:rFonts w:ascii="time" w:hAnsi="time"/>
        </w:rPr>
      </w:pPr>
      <w:r>
        <w:rPr>
          <w:rFonts w:ascii="time" w:hAnsi="time"/>
        </w:rPr>
        <w:t>1.</w:t>
      </w:r>
      <w:r>
        <w:rPr>
          <w:rFonts w:hint="eastAsia" w:ascii="time" w:hAnsi="time"/>
        </w:rPr>
        <w:t xml:space="preserve"> 投标人基本情况表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580"/>
        <w:gridCol w:w="1680"/>
        <w:gridCol w:w="709"/>
        <w:gridCol w:w="126"/>
        <w:gridCol w:w="1150"/>
        <w:gridCol w:w="99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16" w:type="dxa"/>
            <w:vAlign w:val="center"/>
          </w:tcPr>
          <w:p>
            <w:pPr>
              <w:spacing w:line="0" w:lineRule="atLeast"/>
              <w:jc w:val="center"/>
              <w:rPr>
                <w:rFonts w:ascii="宋体" w:hAnsi="宋体" w:eastAsia="宋体" w:cs="宋体"/>
              </w:rPr>
            </w:pPr>
            <w:r>
              <w:rPr>
                <w:rFonts w:hint="eastAsia" w:ascii="宋体" w:hAnsi="宋体" w:eastAsia="宋体" w:cs="宋体"/>
              </w:rPr>
              <w:t>投标人名称</w:t>
            </w:r>
          </w:p>
        </w:tc>
        <w:tc>
          <w:tcPr>
            <w:tcW w:w="8049" w:type="dxa"/>
            <w:gridSpan w:val="7"/>
            <w:vAlign w:val="center"/>
          </w:tcPr>
          <w:p>
            <w:pPr>
              <w:pStyle w:val="97"/>
              <w:spacing w:line="0" w:lineRule="atLeas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716" w:type="dxa"/>
            <w:vAlign w:val="center"/>
          </w:tcPr>
          <w:p>
            <w:pPr>
              <w:spacing w:line="0" w:lineRule="atLeast"/>
              <w:jc w:val="center"/>
              <w:rPr>
                <w:rFonts w:ascii="宋体" w:hAnsi="宋体" w:eastAsia="宋体" w:cs="宋体"/>
              </w:rPr>
            </w:pPr>
            <w:r>
              <w:rPr>
                <w:rFonts w:hint="eastAsia" w:ascii="宋体" w:hAnsi="宋体" w:eastAsia="宋体" w:cs="宋体"/>
              </w:rPr>
              <w:t>注册地址</w:t>
            </w:r>
          </w:p>
        </w:tc>
        <w:tc>
          <w:tcPr>
            <w:tcW w:w="3969" w:type="dxa"/>
            <w:gridSpan w:val="3"/>
            <w:vAlign w:val="center"/>
          </w:tcPr>
          <w:p>
            <w:pPr>
              <w:pStyle w:val="97"/>
              <w:spacing w:line="0" w:lineRule="atLeast"/>
              <w:jc w:val="center"/>
              <w:rPr>
                <w:rFonts w:hAnsi="宋体"/>
              </w:rPr>
            </w:pPr>
          </w:p>
        </w:tc>
        <w:tc>
          <w:tcPr>
            <w:tcW w:w="1276" w:type="dxa"/>
            <w:gridSpan w:val="2"/>
            <w:vAlign w:val="center"/>
          </w:tcPr>
          <w:p>
            <w:pPr>
              <w:spacing w:line="0" w:lineRule="atLeast"/>
              <w:jc w:val="center"/>
              <w:rPr>
                <w:rFonts w:ascii="宋体" w:hAnsi="宋体" w:eastAsia="宋体" w:cs="宋体"/>
              </w:rPr>
            </w:pPr>
            <w:r>
              <w:rPr>
                <w:rFonts w:hint="eastAsia" w:ascii="宋体" w:hAnsi="宋体" w:eastAsia="宋体" w:cs="宋体"/>
              </w:rPr>
              <w:t>邮政编码</w:t>
            </w:r>
          </w:p>
        </w:tc>
        <w:tc>
          <w:tcPr>
            <w:tcW w:w="2804" w:type="dxa"/>
            <w:gridSpan w:val="2"/>
            <w:vAlign w:val="center"/>
          </w:tcPr>
          <w:p>
            <w:pPr>
              <w:pStyle w:val="97"/>
              <w:spacing w:line="0" w:lineRule="atLeas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716" w:type="dxa"/>
            <w:vMerge w:val="restart"/>
            <w:vAlign w:val="center"/>
          </w:tcPr>
          <w:p>
            <w:pPr>
              <w:spacing w:line="0" w:lineRule="atLeast"/>
              <w:jc w:val="center"/>
              <w:rPr>
                <w:rFonts w:ascii="宋体" w:hAnsi="宋体" w:eastAsia="宋体" w:cs="宋体"/>
              </w:rPr>
            </w:pPr>
            <w:r>
              <w:rPr>
                <w:rFonts w:hint="eastAsia" w:ascii="宋体" w:hAnsi="宋体" w:eastAsia="宋体" w:cs="宋体"/>
              </w:rPr>
              <w:t>联系方式</w:t>
            </w:r>
          </w:p>
        </w:tc>
        <w:tc>
          <w:tcPr>
            <w:tcW w:w="1580" w:type="dxa"/>
            <w:vAlign w:val="center"/>
          </w:tcPr>
          <w:p>
            <w:pPr>
              <w:spacing w:line="0" w:lineRule="atLeast"/>
              <w:jc w:val="center"/>
              <w:rPr>
                <w:rFonts w:ascii="宋体" w:hAnsi="宋体" w:eastAsia="宋体" w:cs="宋体"/>
              </w:rPr>
            </w:pPr>
            <w:r>
              <w:rPr>
                <w:rFonts w:hint="eastAsia" w:ascii="宋体" w:hAnsi="宋体" w:eastAsia="宋体" w:cs="宋体"/>
              </w:rPr>
              <w:t>联系人</w:t>
            </w:r>
          </w:p>
        </w:tc>
        <w:tc>
          <w:tcPr>
            <w:tcW w:w="2389" w:type="dxa"/>
            <w:gridSpan w:val="2"/>
            <w:vAlign w:val="center"/>
          </w:tcPr>
          <w:p>
            <w:pPr>
              <w:pStyle w:val="112"/>
              <w:rPr>
                <w:rFonts w:hAnsi="宋体" w:cs="宋体"/>
                <w:szCs w:val="24"/>
              </w:rPr>
            </w:pPr>
          </w:p>
        </w:tc>
        <w:tc>
          <w:tcPr>
            <w:tcW w:w="1276" w:type="dxa"/>
            <w:gridSpan w:val="2"/>
            <w:vAlign w:val="center"/>
          </w:tcPr>
          <w:p>
            <w:pPr>
              <w:spacing w:line="0" w:lineRule="atLeast"/>
              <w:jc w:val="center"/>
              <w:rPr>
                <w:rFonts w:ascii="宋体" w:hAnsi="宋体" w:eastAsia="宋体" w:cs="宋体"/>
              </w:rPr>
            </w:pPr>
            <w:r>
              <w:rPr>
                <w:rFonts w:hint="eastAsia" w:ascii="宋体" w:hAnsi="宋体" w:eastAsia="宋体" w:cs="宋体"/>
              </w:rPr>
              <w:t>电 话</w:t>
            </w:r>
          </w:p>
        </w:tc>
        <w:tc>
          <w:tcPr>
            <w:tcW w:w="2804" w:type="dxa"/>
            <w:gridSpan w:val="2"/>
            <w:vAlign w:val="center"/>
          </w:tcPr>
          <w:p>
            <w:pPr>
              <w:pStyle w:val="112"/>
              <w:rPr>
                <w:rFonts w:hAnsi="宋体" w:cs="宋体"/>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716" w:type="dxa"/>
            <w:vMerge w:val="continue"/>
            <w:vAlign w:val="center"/>
          </w:tcPr>
          <w:p>
            <w:pPr>
              <w:spacing w:line="0" w:lineRule="atLeast"/>
              <w:jc w:val="center"/>
              <w:rPr>
                <w:rFonts w:ascii="宋体" w:hAnsi="宋体" w:eastAsia="宋体" w:cs="宋体"/>
              </w:rPr>
            </w:pPr>
          </w:p>
        </w:tc>
        <w:tc>
          <w:tcPr>
            <w:tcW w:w="1580" w:type="dxa"/>
            <w:vAlign w:val="center"/>
          </w:tcPr>
          <w:p>
            <w:pPr>
              <w:spacing w:line="0" w:lineRule="atLeast"/>
              <w:jc w:val="center"/>
              <w:rPr>
                <w:rFonts w:ascii="宋体" w:hAnsi="宋体" w:eastAsia="宋体" w:cs="宋体"/>
              </w:rPr>
            </w:pPr>
            <w:r>
              <w:rPr>
                <w:rFonts w:hint="eastAsia" w:ascii="宋体" w:hAnsi="宋体" w:eastAsia="宋体" w:cs="宋体"/>
              </w:rPr>
              <w:t>传真</w:t>
            </w:r>
          </w:p>
        </w:tc>
        <w:tc>
          <w:tcPr>
            <w:tcW w:w="2389" w:type="dxa"/>
            <w:gridSpan w:val="2"/>
            <w:vAlign w:val="center"/>
          </w:tcPr>
          <w:p>
            <w:pPr>
              <w:pStyle w:val="97"/>
              <w:spacing w:line="0" w:lineRule="atLeast"/>
              <w:jc w:val="center"/>
              <w:rPr>
                <w:rFonts w:hAnsi="宋体"/>
              </w:rPr>
            </w:pPr>
          </w:p>
        </w:tc>
        <w:tc>
          <w:tcPr>
            <w:tcW w:w="1276" w:type="dxa"/>
            <w:gridSpan w:val="2"/>
            <w:vAlign w:val="center"/>
          </w:tcPr>
          <w:p>
            <w:pPr>
              <w:spacing w:line="0" w:lineRule="atLeast"/>
              <w:jc w:val="center"/>
              <w:rPr>
                <w:rFonts w:ascii="宋体" w:hAnsi="宋体" w:eastAsia="宋体" w:cs="宋体"/>
              </w:rPr>
            </w:pPr>
            <w:r>
              <w:rPr>
                <w:rFonts w:hint="eastAsia" w:ascii="宋体" w:hAnsi="宋体" w:eastAsia="宋体" w:cs="宋体"/>
              </w:rPr>
              <w:t>网址</w:t>
            </w:r>
          </w:p>
        </w:tc>
        <w:tc>
          <w:tcPr>
            <w:tcW w:w="2804" w:type="dxa"/>
            <w:gridSpan w:val="2"/>
            <w:vAlign w:val="center"/>
          </w:tcPr>
          <w:p>
            <w:pPr>
              <w:pStyle w:val="97"/>
              <w:spacing w:line="0" w:lineRule="atLeas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16" w:type="dxa"/>
            <w:vAlign w:val="center"/>
          </w:tcPr>
          <w:p>
            <w:pPr>
              <w:spacing w:line="0" w:lineRule="atLeast"/>
              <w:jc w:val="center"/>
              <w:rPr>
                <w:rFonts w:ascii="宋体" w:hAnsi="宋体" w:eastAsia="宋体" w:cs="宋体"/>
              </w:rPr>
            </w:pPr>
            <w:r>
              <w:rPr>
                <w:rFonts w:hint="eastAsia" w:ascii="宋体" w:hAnsi="宋体" w:eastAsia="宋体" w:cs="宋体"/>
              </w:rPr>
              <w:t>组织结构</w:t>
            </w:r>
          </w:p>
        </w:tc>
        <w:tc>
          <w:tcPr>
            <w:tcW w:w="8049" w:type="dxa"/>
            <w:gridSpan w:val="7"/>
            <w:vAlign w:val="center"/>
          </w:tcPr>
          <w:p>
            <w:pPr>
              <w:spacing w:line="0" w:lineRule="atLeas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16" w:type="dxa"/>
            <w:vAlign w:val="center"/>
          </w:tcPr>
          <w:p>
            <w:pPr>
              <w:spacing w:line="0" w:lineRule="atLeast"/>
              <w:jc w:val="center"/>
              <w:rPr>
                <w:rFonts w:ascii="宋体" w:hAnsi="宋体" w:eastAsia="宋体" w:cs="宋体"/>
              </w:rPr>
            </w:pPr>
            <w:r>
              <w:rPr>
                <w:rFonts w:hint="eastAsia" w:ascii="宋体" w:hAnsi="宋体" w:eastAsia="宋体" w:cs="宋体"/>
              </w:rPr>
              <w:t>法定代表人</w:t>
            </w:r>
          </w:p>
        </w:tc>
        <w:tc>
          <w:tcPr>
            <w:tcW w:w="1580" w:type="dxa"/>
            <w:vAlign w:val="center"/>
          </w:tcPr>
          <w:p>
            <w:pPr>
              <w:spacing w:line="0" w:lineRule="atLeast"/>
              <w:jc w:val="center"/>
              <w:rPr>
                <w:rFonts w:ascii="宋体" w:hAnsi="宋体" w:eastAsia="宋体" w:cs="宋体"/>
              </w:rPr>
            </w:pPr>
            <w:r>
              <w:rPr>
                <w:rFonts w:hint="eastAsia" w:ascii="宋体" w:hAnsi="宋体" w:eastAsia="宋体" w:cs="宋体"/>
              </w:rPr>
              <w:t>姓名</w:t>
            </w:r>
          </w:p>
        </w:tc>
        <w:tc>
          <w:tcPr>
            <w:tcW w:w="1680" w:type="dxa"/>
            <w:vAlign w:val="center"/>
          </w:tcPr>
          <w:p>
            <w:pPr>
              <w:pStyle w:val="97"/>
              <w:spacing w:line="0" w:lineRule="atLeast"/>
              <w:jc w:val="center"/>
              <w:rPr>
                <w:rFonts w:hAnsi="宋体"/>
              </w:rPr>
            </w:pPr>
          </w:p>
        </w:tc>
        <w:tc>
          <w:tcPr>
            <w:tcW w:w="709" w:type="dxa"/>
            <w:vAlign w:val="center"/>
          </w:tcPr>
          <w:p>
            <w:pPr>
              <w:spacing w:line="0" w:lineRule="atLeast"/>
              <w:jc w:val="center"/>
              <w:rPr>
                <w:rFonts w:ascii="宋体" w:hAnsi="宋体" w:eastAsia="宋体" w:cs="宋体"/>
              </w:rPr>
            </w:pPr>
            <w:r>
              <w:rPr>
                <w:rFonts w:hint="eastAsia" w:ascii="宋体" w:hAnsi="宋体" w:eastAsia="宋体" w:cs="宋体"/>
              </w:rPr>
              <w:t>技术职称</w:t>
            </w:r>
          </w:p>
        </w:tc>
        <w:tc>
          <w:tcPr>
            <w:tcW w:w="1276" w:type="dxa"/>
            <w:gridSpan w:val="2"/>
            <w:vAlign w:val="center"/>
          </w:tcPr>
          <w:p>
            <w:pPr>
              <w:pStyle w:val="97"/>
              <w:spacing w:line="0" w:lineRule="atLeast"/>
              <w:jc w:val="center"/>
              <w:rPr>
                <w:rFonts w:hAnsi="宋体"/>
              </w:rPr>
            </w:pPr>
          </w:p>
        </w:tc>
        <w:tc>
          <w:tcPr>
            <w:tcW w:w="992" w:type="dxa"/>
            <w:vAlign w:val="center"/>
          </w:tcPr>
          <w:p>
            <w:pPr>
              <w:spacing w:line="0" w:lineRule="atLeast"/>
              <w:jc w:val="center"/>
              <w:rPr>
                <w:rFonts w:ascii="宋体" w:hAnsi="宋体" w:eastAsia="宋体" w:cs="宋体"/>
              </w:rPr>
            </w:pPr>
            <w:r>
              <w:rPr>
                <w:rFonts w:hint="eastAsia" w:ascii="宋体" w:hAnsi="宋体" w:eastAsia="宋体" w:cs="宋体"/>
              </w:rPr>
              <w:t>电话</w:t>
            </w:r>
          </w:p>
        </w:tc>
        <w:tc>
          <w:tcPr>
            <w:tcW w:w="1812" w:type="dxa"/>
            <w:vAlign w:val="center"/>
          </w:tcPr>
          <w:p>
            <w:pPr>
              <w:pStyle w:val="97"/>
              <w:spacing w:line="0" w:lineRule="atLeas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16" w:type="dxa"/>
            <w:vAlign w:val="center"/>
          </w:tcPr>
          <w:p>
            <w:pPr>
              <w:spacing w:line="0" w:lineRule="atLeast"/>
              <w:jc w:val="center"/>
              <w:rPr>
                <w:rFonts w:ascii="宋体" w:hAnsi="宋体" w:eastAsia="宋体" w:cs="宋体"/>
              </w:rPr>
            </w:pPr>
            <w:r>
              <w:rPr>
                <w:rFonts w:hint="eastAsia" w:ascii="宋体" w:hAnsi="宋体" w:eastAsia="宋体" w:cs="宋体"/>
              </w:rPr>
              <w:t>技术负责人</w:t>
            </w:r>
          </w:p>
        </w:tc>
        <w:tc>
          <w:tcPr>
            <w:tcW w:w="1580" w:type="dxa"/>
            <w:vAlign w:val="center"/>
          </w:tcPr>
          <w:p>
            <w:pPr>
              <w:spacing w:line="0" w:lineRule="atLeast"/>
              <w:jc w:val="center"/>
              <w:rPr>
                <w:rFonts w:ascii="宋体" w:hAnsi="宋体" w:eastAsia="宋体" w:cs="宋体"/>
              </w:rPr>
            </w:pPr>
            <w:r>
              <w:rPr>
                <w:rFonts w:hint="eastAsia" w:ascii="宋体" w:hAnsi="宋体" w:eastAsia="宋体" w:cs="宋体"/>
              </w:rPr>
              <w:t>姓名</w:t>
            </w:r>
          </w:p>
        </w:tc>
        <w:tc>
          <w:tcPr>
            <w:tcW w:w="1680" w:type="dxa"/>
            <w:vAlign w:val="center"/>
          </w:tcPr>
          <w:p>
            <w:pPr>
              <w:pStyle w:val="97"/>
              <w:spacing w:line="0" w:lineRule="atLeast"/>
              <w:jc w:val="center"/>
              <w:rPr>
                <w:rFonts w:hAnsi="宋体"/>
              </w:rPr>
            </w:pPr>
          </w:p>
        </w:tc>
        <w:tc>
          <w:tcPr>
            <w:tcW w:w="709" w:type="dxa"/>
            <w:vAlign w:val="center"/>
          </w:tcPr>
          <w:p>
            <w:pPr>
              <w:spacing w:line="0" w:lineRule="atLeast"/>
              <w:jc w:val="center"/>
              <w:rPr>
                <w:rFonts w:ascii="宋体" w:hAnsi="宋体" w:eastAsia="宋体" w:cs="宋体"/>
              </w:rPr>
            </w:pPr>
            <w:r>
              <w:rPr>
                <w:rFonts w:hint="eastAsia" w:ascii="宋体" w:hAnsi="宋体" w:eastAsia="宋体" w:cs="宋体"/>
              </w:rPr>
              <w:t>技术职称</w:t>
            </w:r>
          </w:p>
        </w:tc>
        <w:tc>
          <w:tcPr>
            <w:tcW w:w="1276" w:type="dxa"/>
            <w:gridSpan w:val="2"/>
            <w:vAlign w:val="center"/>
          </w:tcPr>
          <w:p>
            <w:pPr>
              <w:pStyle w:val="97"/>
              <w:spacing w:line="0" w:lineRule="atLeast"/>
              <w:jc w:val="center"/>
              <w:rPr>
                <w:rFonts w:hAnsi="宋体"/>
              </w:rPr>
            </w:pPr>
          </w:p>
        </w:tc>
        <w:tc>
          <w:tcPr>
            <w:tcW w:w="992" w:type="dxa"/>
            <w:vAlign w:val="center"/>
          </w:tcPr>
          <w:p>
            <w:pPr>
              <w:spacing w:line="0" w:lineRule="atLeast"/>
              <w:jc w:val="center"/>
              <w:rPr>
                <w:rFonts w:ascii="宋体" w:hAnsi="宋体" w:eastAsia="宋体" w:cs="宋体"/>
              </w:rPr>
            </w:pPr>
            <w:r>
              <w:rPr>
                <w:rFonts w:hint="eastAsia" w:ascii="宋体" w:hAnsi="宋体" w:eastAsia="宋体" w:cs="宋体"/>
              </w:rPr>
              <w:t>电话</w:t>
            </w:r>
          </w:p>
        </w:tc>
        <w:tc>
          <w:tcPr>
            <w:tcW w:w="1812" w:type="dxa"/>
            <w:vAlign w:val="center"/>
          </w:tcPr>
          <w:p>
            <w:pPr>
              <w:pStyle w:val="97"/>
              <w:spacing w:line="0" w:lineRule="atLeas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16" w:type="dxa"/>
            <w:vAlign w:val="center"/>
          </w:tcPr>
          <w:p>
            <w:pPr>
              <w:spacing w:line="0" w:lineRule="atLeast"/>
              <w:jc w:val="center"/>
              <w:rPr>
                <w:rFonts w:ascii="宋体" w:hAnsi="宋体" w:eastAsia="宋体" w:cs="宋体"/>
              </w:rPr>
            </w:pPr>
            <w:r>
              <w:rPr>
                <w:rFonts w:hint="eastAsia" w:ascii="宋体" w:hAnsi="宋体" w:eastAsia="宋体" w:cs="宋体"/>
              </w:rPr>
              <w:t>成立时间</w:t>
            </w:r>
          </w:p>
        </w:tc>
        <w:tc>
          <w:tcPr>
            <w:tcW w:w="3260" w:type="dxa"/>
            <w:gridSpan w:val="2"/>
            <w:vAlign w:val="center"/>
          </w:tcPr>
          <w:p>
            <w:pPr>
              <w:pStyle w:val="97"/>
              <w:spacing w:line="0" w:lineRule="atLeast"/>
              <w:jc w:val="center"/>
              <w:rPr>
                <w:rFonts w:hAnsi="宋体"/>
              </w:rPr>
            </w:pPr>
          </w:p>
        </w:tc>
        <w:tc>
          <w:tcPr>
            <w:tcW w:w="4789" w:type="dxa"/>
            <w:gridSpan w:val="5"/>
            <w:vAlign w:val="center"/>
          </w:tcPr>
          <w:p>
            <w:pPr>
              <w:spacing w:line="0" w:lineRule="atLeast"/>
              <w:jc w:val="center"/>
              <w:rPr>
                <w:rFonts w:ascii="宋体" w:hAnsi="宋体" w:eastAsia="宋体" w:cs="宋体"/>
              </w:rPr>
            </w:pPr>
            <w:r>
              <w:rPr>
                <w:rFonts w:hint="eastAsia" w:ascii="宋体" w:hAnsi="宋体" w:eastAsia="宋体" w:cs="宋体"/>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716" w:type="dxa"/>
            <w:vAlign w:val="center"/>
          </w:tcPr>
          <w:p>
            <w:pPr>
              <w:spacing w:line="0" w:lineRule="atLeast"/>
              <w:jc w:val="center"/>
              <w:rPr>
                <w:rFonts w:ascii="宋体" w:hAnsi="宋体" w:eastAsia="宋体" w:cs="宋体"/>
              </w:rPr>
            </w:pPr>
            <w:r>
              <w:rPr>
                <w:rFonts w:hint="eastAsia" w:ascii="宋体" w:hAnsi="宋体" w:eastAsia="宋体" w:cs="宋体"/>
              </w:rPr>
              <w:t>企业资质等级</w:t>
            </w:r>
          </w:p>
        </w:tc>
        <w:tc>
          <w:tcPr>
            <w:tcW w:w="3260" w:type="dxa"/>
            <w:gridSpan w:val="2"/>
            <w:vAlign w:val="center"/>
          </w:tcPr>
          <w:p>
            <w:pPr>
              <w:spacing w:line="0" w:lineRule="atLeast"/>
              <w:rPr>
                <w:rFonts w:ascii="宋体" w:hAnsi="宋体" w:eastAsia="宋体" w:cs="宋体"/>
              </w:rPr>
            </w:pPr>
          </w:p>
        </w:tc>
        <w:tc>
          <w:tcPr>
            <w:tcW w:w="835" w:type="dxa"/>
            <w:gridSpan w:val="2"/>
            <w:vMerge w:val="restart"/>
            <w:vAlign w:val="center"/>
          </w:tcPr>
          <w:p>
            <w:pPr>
              <w:spacing w:line="0" w:lineRule="atLeast"/>
              <w:jc w:val="center"/>
              <w:rPr>
                <w:rFonts w:ascii="宋体" w:hAnsi="宋体" w:eastAsia="宋体" w:cs="宋体"/>
              </w:rPr>
            </w:pPr>
            <w:r>
              <w:rPr>
                <w:rFonts w:hint="eastAsia" w:ascii="宋体" w:hAnsi="宋体" w:eastAsia="宋体" w:cs="宋体"/>
              </w:rPr>
              <w:t>其中</w:t>
            </w:r>
          </w:p>
        </w:tc>
        <w:tc>
          <w:tcPr>
            <w:tcW w:w="2142" w:type="dxa"/>
            <w:gridSpan w:val="2"/>
            <w:vAlign w:val="center"/>
          </w:tcPr>
          <w:p>
            <w:pPr>
              <w:spacing w:line="0" w:lineRule="atLeast"/>
              <w:jc w:val="center"/>
              <w:rPr>
                <w:rFonts w:ascii="宋体" w:hAnsi="宋体" w:eastAsia="宋体" w:cs="宋体"/>
              </w:rPr>
            </w:pPr>
            <w:r>
              <w:rPr>
                <w:rFonts w:hint="eastAsia" w:ascii="宋体" w:hAnsi="宋体" w:eastAsia="宋体" w:cs="宋体"/>
              </w:rPr>
              <w:t>项目负责人</w:t>
            </w:r>
          </w:p>
        </w:tc>
        <w:tc>
          <w:tcPr>
            <w:tcW w:w="1812" w:type="dxa"/>
            <w:vAlign w:val="center"/>
          </w:tcPr>
          <w:p>
            <w:pPr>
              <w:spacing w:line="0" w:lineRule="atLeas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1716" w:type="dxa"/>
            <w:vAlign w:val="center"/>
          </w:tcPr>
          <w:p>
            <w:pPr>
              <w:spacing w:line="0" w:lineRule="atLeast"/>
              <w:jc w:val="center"/>
              <w:rPr>
                <w:rFonts w:ascii="宋体" w:hAnsi="宋体" w:eastAsia="宋体" w:cs="宋体"/>
              </w:rPr>
            </w:pPr>
            <w:r>
              <w:rPr>
                <w:rFonts w:hint="eastAsia" w:ascii="宋体" w:hAnsi="宋体" w:eastAsia="宋体" w:cs="宋体"/>
              </w:rPr>
              <w:t>营业执照号</w:t>
            </w:r>
          </w:p>
        </w:tc>
        <w:tc>
          <w:tcPr>
            <w:tcW w:w="3260" w:type="dxa"/>
            <w:gridSpan w:val="2"/>
            <w:vAlign w:val="center"/>
          </w:tcPr>
          <w:p>
            <w:pPr>
              <w:pStyle w:val="97"/>
              <w:spacing w:line="0" w:lineRule="atLeast"/>
              <w:jc w:val="center"/>
              <w:rPr>
                <w:rFonts w:hAnsi="宋体"/>
              </w:rPr>
            </w:pPr>
          </w:p>
        </w:tc>
        <w:tc>
          <w:tcPr>
            <w:tcW w:w="835" w:type="dxa"/>
            <w:gridSpan w:val="2"/>
            <w:vMerge w:val="continue"/>
            <w:vAlign w:val="center"/>
          </w:tcPr>
          <w:p>
            <w:pPr>
              <w:spacing w:line="0" w:lineRule="atLeast"/>
              <w:jc w:val="center"/>
              <w:rPr>
                <w:rFonts w:ascii="宋体" w:hAnsi="宋体" w:eastAsia="宋体" w:cs="宋体"/>
              </w:rPr>
            </w:pPr>
          </w:p>
        </w:tc>
        <w:tc>
          <w:tcPr>
            <w:tcW w:w="2142" w:type="dxa"/>
            <w:gridSpan w:val="2"/>
            <w:vAlign w:val="center"/>
          </w:tcPr>
          <w:p>
            <w:pPr>
              <w:spacing w:line="0" w:lineRule="atLeast"/>
              <w:jc w:val="center"/>
              <w:rPr>
                <w:rFonts w:ascii="宋体" w:hAnsi="宋体" w:eastAsia="宋体" w:cs="宋体"/>
              </w:rPr>
            </w:pPr>
            <w:r>
              <w:rPr>
                <w:rFonts w:hint="eastAsia" w:ascii="宋体" w:hAnsi="宋体" w:eastAsia="宋体" w:cs="宋体"/>
              </w:rPr>
              <w:t>高级职称人员</w:t>
            </w:r>
          </w:p>
        </w:tc>
        <w:tc>
          <w:tcPr>
            <w:tcW w:w="1812" w:type="dxa"/>
            <w:vAlign w:val="center"/>
          </w:tcPr>
          <w:p>
            <w:pPr>
              <w:pStyle w:val="97"/>
              <w:spacing w:line="0" w:lineRule="atLeas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716" w:type="dxa"/>
            <w:vAlign w:val="center"/>
          </w:tcPr>
          <w:p>
            <w:pPr>
              <w:spacing w:line="0" w:lineRule="atLeast"/>
              <w:jc w:val="center"/>
              <w:rPr>
                <w:rFonts w:ascii="宋体" w:hAnsi="宋体" w:eastAsia="宋体" w:cs="宋体"/>
              </w:rPr>
            </w:pPr>
            <w:r>
              <w:rPr>
                <w:rFonts w:hint="eastAsia" w:ascii="宋体" w:hAnsi="宋体" w:eastAsia="宋体" w:cs="宋体"/>
              </w:rPr>
              <w:t>注册资金</w:t>
            </w:r>
          </w:p>
        </w:tc>
        <w:tc>
          <w:tcPr>
            <w:tcW w:w="3260" w:type="dxa"/>
            <w:gridSpan w:val="2"/>
            <w:vAlign w:val="center"/>
          </w:tcPr>
          <w:p>
            <w:pPr>
              <w:pStyle w:val="97"/>
              <w:spacing w:line="0" w:lineRule="atLeast"/>
              <w:jc w:val="center"/>
              <w:rPr>
                <w:rFonts w:hAnsi="宋体"/>
              </w:rPr>
            </w:pPr>
          </w:p>
        </w:tc>
        <w:tc>
          <w:tcPr>
            <w:tcW w:w="835" w:type="dxa"/>
            <w:gridSpan w:val="2"/>
            <w:vMerge w:val="continue"/>
            <w:vAlign w:val="center"/>
          </w:tcPr>
          <w:p>
            <w:pPr>
              <w:spacing w:line="0" w:lineRule="atLeast"/>
              <w:jc w:val="center"/>
              <w:rPr>
                <w:rFonts w:ascii="宋体" w:hAnsi="宋体" w:eastAsia="宋体" w:cs="宋体"/>
              </w:rPr>
            </w:pPr>
          </w:p>
        </w:tc>
        <w:tc>
          <w:tcPr>
            <w:tcW w:w="2142" w:type="dxa"/>
            <w:gridSpan w:val="2"/>
            <w:vAlign w:val="center"/>
          </w:tcPr>
          <w:p>
            <w:pPr>
              <w:spacing w:line="0" w:lineRule="atLeast"/>
              <w:jc w:val="center"/>
              <w:rPr>
                <w:rFonts w:ascii="宋体" w:hAnsi="宋体" w:eastAsia="宋体" w:cs="宋体"/>
              </w:rPr>
            </w:pPr>
            <w:r>
              <w:rPr>
                <w:rFonts w:hint="eastAsia" w:ascii="宋体" w:hAnsi="宋体" w:eastAsia="宋体" w:cs="宋体"/>
              </w:rPr>
              <w:t>中级职称人员</w:t>
            </w:r>
          </w:p>
        </w:tc>
        <w:tc>
          <w:tcPr>
            <w:tcW w:w="1812" w:type="dxa"/>
            <w:vAlign w:val="center"/>
          </w:tcPr>
          <w:p>
            <w:pPr>
              <w:pStyle w:val="97"/>
              <w:spacing w:line="0" w:lineRule="atLeas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1716" w:type="dxa"/>
            <w:vAlign w:val="center"/>
          </w:tcPr>
          <w:p>
            <w:pPr>
              <w:spacing w:line="0" w:lineRule="atLeast"/>
              <w:jc w:val="center"/>
              <w:rPr>
                <w:rFonts w:ascii="宋体" w:hAnsi="宋体" w:eastAsia="宋体" w:cs="宋体"/>
              </w:rPr>
            </w:pPr>
            <w:r>
              <w:rPr>
                <w:rFonts w:hint="eastAsia" w:ascii="宋体" w:hAnsi="宋体" w:eastAsia="宋体" w:cs="宋体"/>
              </w:rPr>
              <w:t>开户银行</w:t>
            </w:r>
          </w:p>
        </w:tc>
        <w:tc>
          <w:tcPr>
            <w:tcW w:w="3260" w:type="dxa"/>
            <w:gridSpan w:val="2"/>
            <w:vAlign w:val="center"/>
          </w:tcPr>
          <w:p>
            <w:pPr>
              <w:pStyle w:val="97"/>
              <w:spacing w:line="0" w:lineRule="atLeast"/>
              <w:jc w:val="center"/>
              <w:rPr>
                <w:rFonts w:hAnsi="宋体"/>
              </w:rPr>
            </w:pPr>
          </w:p>
        </w:tc>
        <w:tc>
          <w:tcPr>
            <w:tcW w:w="835" w:type="dxa"/>
            <w:gridSpan w:val="2"/>
            <w:vMerge w:val="continue"/>
            <w:vAlign w:val="center"/>
          </w:tcPr>
          <w:p>
            <w:pPr>
              <w:spacing w:line="0" w:lineRule="atLeast"/>
              <w:jc w:val="center"/>
              <w:rPr>
                <w:rFonts w:ascii="宋体" w:hAnsi="宋体" w:eastAsia="宋体" w:cs="宋体"/>
              </w:rPr>
            </w:pPr>
          </w:p>
        </w:tc>
        <w:tc>
          <w:tcPr>
            <w:tcW w:w="2142" w:type="dxa"/>
            <w:gridSpan w:val="2"/>
            <w:vAlign w:val="center"/>
          </w:tcPr>
          <w:p>
            <w:pPr>
              <w:spacing w:line="0" w:lineRule="atLeast"/>
              <w:jc w:val="center"/>
              <w:rPr>
                <w:rFonts w:ascii="宋体" w:hAnsi="宋体" w:eastAsia="宋体" w:cs="宋体"/>
              </w:rPr>
            </w:pPr>
            <w:r>
              <w:rPr>
                <w:rFonts w:hint="eastAsia" w:ascii="宋体" w:hAnsi="宋体" w:eastAsia="宋体" w:cs="宋体"/>
              </w:rPr>
              <w:t>初级职称人员</w:t>
            </w:r>
          </w:p>
        </w:tc>
        <w:tc>
          <w:tcPr>
            <w:tcW w:w="1812" w:type="dxa"/>
            <w:vAlign w:val="center"/>
          </w:tcPr>
          <w:p>
            <w:pPr>
              <w:pStyle w:val="97"/>
              <w:spacing w:line="0" w:lineRule="atLeas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716" w:type="dxa"/>
            <w:vAlign w:val="center"/>
          </w:tcPr>
          <w:p>
            <w:pPr>
              <w:spacing w:line="0" w:lineRule="atLeast"/>
              <w:jc w:val="center"/>
              <w:rPr>
                <w:rFonts w:ascii="宋体" w:hAnsi="宋体" w:eastAsia="宋体" w:cs="宋体"/>
              </w:rPr>
            </w:pPr>
            <w:r>
              <w:rPr>
                <w:rFonts w:hint="eastAsia" w:ascii="宋体" w:hAnsi="宋体" w:eastAsia="宋体" w:cs="宋体"/>
              </w:rPr>
              <w:t>账号</w:t>
            </w:r>
          </w:p>
        </w:tc>
        <w:tc>
          <w:tcPr>
            <w:tcW w:w="3260" w:type="dxa"/>
            <w:gridSpan w:val="2"/>
            <w:vAlign w:val="center"/>
          </w:tcPr>
          <w:p>
            <w:pPr>
              <w:pStyle w:val="97"/>
              <w:spacing w:line="0" w:lineRule="atLeast"/>
              <w:jc w:val="center"/>
              <w:rPr>
                <w:rFonts w:hAnsi="宋体"/>
              </w:rPr>
            </w:pPr>
          </w:p>
        </w:tc>
        <w:tc>
          <w:tcPr>
            <w:tcW w:w="835" w:type="dxa"/>
            <w:gridSpan w:val="2"/>
            <w:vMerge w:val="continue"/>
            <w:vAlign w:val="center"/>
          </w:tcPr>
          <w:p>
            <w:pPr>
              <w:spacing w:line="0" w:lineRule="atLeast"/>
              <w:jc w:val="center"/>
              <w:rPr>
                <w:rFonts w:ascii="宋体" w:hAnsi="宋体" w:eastAsia="宋体" w:cs="宋体"/>
              </w:rPr>
            </w:pPr>
          </w:p>
        </w:tc>
        <w:tc>
          <w:tcPr>
            <w:tcW w:w="2142" w:type="dxa"/>
            <w:gridSpan w:val="2"/>
            <w:vAlign w:val="center"/>
          </w:tcPr>
          <w:p>
            <w:pPr>
              <w:spacing w:line="0" w:lineRule="atLeast"/>
              <w:jc w:val="center"/>
              <w:rPr>
                <w:rFonts w:ascii="宋体" w:hAnsi="宋体" w:eastAsia="宋体" w:cs="宋体"/>
              </w:rPr>
            </w:pPr>
            <w:r>
              <w:rPr>
                <w:rFonts w:hint="eastAsia" w:ascii="宋体" w:hAnsi="宋体" w:eastAsia="宋体" w:cs="宋体"/>
              </w:rPr>
              <w:t>技  工</w:t>
            </w:r>
          </w:p>
        </w:tc>
        <w:tc>
          <w:tcPr>
            <w:tcW w:w="1812" w:type="dxa"/>
            <w:vAlign w:val="center"/>
          </w:tcPr>
          <w:p>
            <w:pPr>
              <w:pStyle w:val="97"/>
              <w:spacing w:line="0" w:lineRule="atLeas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716" w:type="dxa"/>
            <w:vAlign w:val="center"/>
          </w:tcPr>
          <w:p>
            <w:pPr>
              <w:spacing w:line="0" w:lineRule="atLeast"/>
              <w:jc w:val="center"/>
              <w:rPr>
                <w:rFonts w:ascii="宋体" w:hAnsi="宋体" w:eastAsia="宋体" w:cs="宋体"/>
              </w:rPr>
            </w:pPr>
            <w:r>
              <w:rPr>
                <w:rFonts w:hint="eastAsia" w:ascii="宋体" w:hAnsi="宋体" w:eastAsia="宋体" w:cs="宋体"/>
              </w:rPr>
              <w:t>经营范围备注</w:t>
            </w:r>
          </w:p>
        </w:tc>
        <w:tc>
          <w:tcPr>
            <w:tcW w:w="8049" w:type="dxa"/>
            <w:gridSpan w:val="7"/>
            <w:vAlign w:val="center"/>
          </w:tcPr>
          <w:p>
            <w:pPr>
              <w:spacing w:line="0" w:lineRule="atLeast"/>
              <w:ind w:firstLine="480" w:firstLineChars="200"/>
              <w:rPr>
                <w:rFonts w:ascii="宋体" w:hAnsi="宋体" w:eastAsia="宋体" w:cs="宋体"/>
              </w:rPr>
            </w:pPr>
          </w:p>
        </w:tc>
      </w:tr>
    </w:tbl>
    <w:p>
      <w:pPr>
        <w:spacing w:line="360" w:lineRule="auto"/>
        <w:rPr>
          <w:rFonts w:ascii="time" w:hAnsi="time"/>
        </w:rPr>
      </w:pPr>
    </w:p>
    <w:p>
      <w:pPr>
        <w:pStyle w:val="5"/>
        <w:spacing w:line="240" w:lineRule="auto"/>
        <w:ind w:firstLine="402"/>
        <w:jc w:val="left"/>
        <w:rPr>
          <w:rFonts w:ascii="time" w:hAnsi="time"/>
        </w:rPr>
      </w:pPr>
      <w:r>
        <w:rPr>
          <w:rFonts w:ascii="time" w:hAnsi="time"/>
          <w:sz w:val="20"/>
        </w:rPr>
        <w:br w:type="page"/>
      </w:r>
      <w:r>
        <w:rPr>
          <w:rFonts w:ascii="time" w:hAnsi="time"/>
        </w:rPr>
        <w:t>2.</w:t>
      </w:r>
      <w:r>
        <w:rPr>
          <w:rFonts w:hint="eastAsia" w:ascii="time" w:hAnsi="time"/>
        </w:rPr>
        <w:t>企业</w:t>
      </w:r>
      <w:r>
        <w:rPr>
          <w:rFonts w:ascii="time" w:hAnsi="time"/>
        </w:rPr>
        <w:t>营业执照复印件（</w:t>
      </w:r>
      <w:r>
        <w:rPr>
          <w:rFonts w:hint="eastAsia" w:ascii="time" w:hAnsi="time"/>
        </w:rPr>
        <w:t>加盖鲜章</w:t>
      </w:r>
      <w:r>
        <w:rPr>
          <w:rFonts w:ascii="time" w:hAnsi="time"/>
        </w:rPr>
        <w:t>）</w:t>
      </w:r>
    </w:p>
    <w:p>
      <w:pPr>
        <w:pStyle w:val="5"/>
        <w:spacing w:line="240" w:lineRule="auto"/>
        <w:ind w:firstLine="482"/>
        <w:jc w:val="left"/>
        <w:rPr>
          <w:rFonts w:ascii="time" w:hAnsi="time"/>
        </w:rPr>
      </w:pPr>
      <w:r>
        <w:rPr>
          <w:rFonts w:ascii="time" w:hAnsi="time"/>
        </w:rPr>
        <w:br w:type="page"/>
      </w:r>
      <w:r>
        <w:rPr>
          <w:rFonts w:ascii="time" w:hAnsi="time"/>
        </w:rPr>
        <w:t>3.</w:t>
      </w:r>
      <w:r>
        <w:rPr>
          <w:rFonts w:hint="eastAsia" w:ascii="time" w:hAnsi="time"/>
        </w:rPr>
        <w:t>企业</w:t>
      </w:r>
      <w:r>
        <w:rPr>
          <w:rFonts w:ascii="time" w:hAnsi="time"/>
        </w:rPr>
        <w:t>资格证书复印件（</w:t>
      </w:r>
      <w:r>
        <w:rPr>
          <w:rFonts w:hint="eastAsia" w:ascii="time" w:hAnsi="time"/>
        </w:rPr>
        <w:t>加盖鲜章</w:t>
      </w:r>
      <w:r>
        <w:rPr>
          <w:rFonts w:ascii="time" w:hAnsi="time"/>
        </w:rPr>
        <w:t>）</w:t>
      </w:r>
    </w:p>
    <w:p>
      <w:pPr>
        <w:pStyle w:val="5"/>
        <w:spacing w:line="240" w:lineRule="auto"/>
        <w:ind w:firstLine="482"/>
        <w:jc w:val="left"/>
        <w:rPr>
          <w:rFonts w:ascii="time" w:hAnsi="time"/>
        </w:rPr>
      </w:pPr>
      <w:r>
        <w:rPr>
          <w:rFonts w:ascii="time" w:hAnsi="time"/>
        </w:rPr>
        <w:br w:type="page"/>
      </w:r>
      <w:r>
        <w:rPr>
          <w:rFonts w:ascii="time" w:hAnsi="time"/>
        </w:rPr>
        <w:t>4.</w:t>
      </w:r>
      <w:r>
        <w:rPr>
          <w:rFonts w:hint="eastAsia" w:ascii="time" w:hAnsi="time"/>
        </w:rPr>
        <w:t>投标人认为有必要</w:t>
      </w:r>
      <w:r>
        <w:rPr>
          <w:rFonts w:ascii="time" w:hAnsi="time"/>
        </w:rPr>
        <w:t>提供</w:t>
      </w:r>
      <w:r>
        <w:rPr>
          <w:rFonts w:hint="eastAsia" w:ascii="time" w:hAnsi="time"/>
        </w:rPr>
        <w:t>的</w:t>
      </w:r>
      <w:r>
        <w:rPr>
          <w:rFonts w:ascii="time" w:hAnsi="time"/>
        </w:rPr>
        <w:t>其他资料</w:t>
      </w:r>
    </w:p>
    <w:p>
      <w:pPr>
        <w:pStyle w:val="4"/>
        <w:spacing w:line="240" w:lineRule="auto"/>
        <w:jc w:val="center"/>
        <w:rPr>
          <w:rFonts w:ascii="time" w:hAnsi="time"/>
          <w:szCs w:val="28"/>
        </w:rPr>
      </w:pPr>
      <w:r>
        <w:rPr>
          <w:rFonts w:ascii="time" w:hAnsi="time"/>
          <w:sz w:val="20"/>
        </w:rPr>
        <w:br w:type="page"/>
      </w:r>
      <w:bookmarkStart w:id="188" w:name="_Toc511814463"/>
      <w:bookmarkStart w:id="189" w:name="_Toc25602"/>
      <w:r>
        <w:rPr>
          <w:rFonts w:hint="eastAsia" w:ascii="time" w:hAnsi="time"/>
          <w:szCs w:val="28"/>
        </w:rPr>
        <w:t>六、近3年（201</w:t>
      </w:r>
      <w:r>
        <w:rPr>
          <w:rFonts w:hint="eastAsia" w:ascii="time" w:hAnsi="time"/>
          <w:szCs w:val="28"/>
          <w:lang w:val="en-US" w:eastAsia="zh-CN"/>
        </w:rPr>
        <w:t>8</w:t>
      </w:r>
      <w:r>
        <w:rPr>
          <w:rFonts w:hint="eastAsia" w:ascii="time" w:hAnsi="time"/>
          <w:szCs w:val="28"/>
        </w:rPr>
        <w:t>年-202</w:t>
      </w:r>
      <w:r>
        <w:rPr>
          <w:rFonts w:hint="eastAsia" w:ascii="time" w:hAnsi="time"/>
          <w:szCs w:val="28"/>
          <w:lang w:val="en-US" w:eastAsia="zh-CN"/>
        </w:rPr>
        <w:t>0</w:t>
      </w:r>
      <w:r>
        <w:rPr>
          <w:rFonts w:hint="eastAsia" w:ascii="time" w:hAnsi="time"/>
          <w:szCs w:val="28"/>
        </w:rPr>
        <w:t>年）经审计的财务报表</w:t>
      </w:r>
      <w:bookmarkEnd w:id="188"/>
      <w:bookmarkEnd w:id="189"/>
    </w:p>
    <w:p>
      <w:pPr>
        <w:pStyle w:val="25"/>
        <w:adjustRightInd w:val="0"/>
        <w:snapToGrid w:val="0"/>
        <w:spacing w:beforeLines="50"/>
        <w:ind w:firstLine="420" w:firstLineChars="200"/>
        <w:rPr>
          <w:rFonts w:ascii="time" w:hAnsi="time"/>
        </w:rPr>
      </w:pPr>
    </w:p>
    <w:p>
      <w:pPr>
        <w:pStyle w:val="25"/>
        <w:adjustRightInd w:val="0"/>
        <w:snapToGrid w:val="0"/>
        <w:spacing w:beforeLines="50"/>
        <w:ind w:firstLine="420" w:firstLineChars="200"/>
        <w:rPr>
          <w:rFonts w:ascii="time" w:hAnsi="time"/>
          <w:u w:val="single"/>
        </w:rPr>
      </w:pPr>
      <w:r>
        <w:rPr>
          <w:rFonts w:ascii="time" w:hAnsi="time"/>
        </w:rPr>
        <w:t>对财务状况的要求为：</w:t>
      </w:r>
      <w:r>
        <w:rPr>
          <w:rFonts w:hint="eastAsia" w:ascii="time" w:hAnsi="time"/>
          <w:u w:val="single"/>
        </w:rPr>
        <w:t>无亏损</w:t>
      </w:r>
      <w:r>
        <w:rPr>
          <w:rFonts w:hint="eastAsia" w:ascii="time" w:hAnsi="time"/>
        </w:rPr>
        <w:t>。</w:t>
      </w:r>
    </w:p>
    <w:p>
      <w:pPr>
        <w:pStyle w:val="25"/>
        <w:adjustRightInd w:val="0"/>
        <w:snapToGrid w:val="0"/>
        <w:spacing w:beforeLines="50"/>
        <w:ind w:firstLine="420" w:firstLineChars="200"/>
        <w:rPr>
          <w:rFonts w:ascii="time" w:hAnsi="time"/>
        </w:rPr>
      </w:pPr>
      <w:r>
        <w:rPr>
          <w:rFonts w:ascii="time" w:hAnsi="time"/>
        </w:rPr>
        <w:t xml:space="preserve"> </w:t>
      </w:r>
    </w:p>
    <w:p>
      <w:pPr>
        <w:snapToGrid w:val="0"/>
        <w:spacing w:line="360" w:lineRule="auto"/>
        <w:ind w:firstLine="480" w:firstLineChars="200"/>
        <w:rPr>
          <w:rFonts w:ascii="time" w:hAnsi="time"/>
          <w:szCs w:val="21"/>
        </w:rPr>
      </w:pPr>
    </w:p>
    <w:p>
      <w:pPr>
        <w:snapToGrid w:val="0"/>
        <w:spacing w:line="360" w:lineRule="auto"/>
        <w:ind w:firstLine="480" w:firstLineChars="200"/>
        <w:rPr>
          <w:rFonts w:ascii="time" w:hAnsi="time"/>
          <w:szCs w:val="21"/>
        </w:rPr>
      </w:pPr>
    </w:p>
    <w:p>
      <w:pPr>
        <w:snapToGrid w:val="0"/>
        <w:spacing w:line="360" w:lineRule="auto"/>
        <w:ind w:firstLine="480" w:firstLineChars="200"/>
        <w:rPr>
          <w:rFonts w:ascii="time" w:hAnsi="time"/>
          <w:szCs w:val="21"/>
        </w:rPr>
      </w:pPr>
    </w:p>
    <w:p>
      <w:pPr>
        <w:snapToGrid w:val="0"/>
        <w:spacing w:line="360" w:lineRule="auto"/>
        <w:ind w:firstLine="480" w:firstLineChars="200"/>
        <w:rPr>
          <w:rFonts w:ascii="time" w:hAnsi="time"/>
          <w:szCs w:val="21"/>
        </w:rPr>
      </w:pPr>
    </w:p>
    <w:p>
      <w:pPr>
        <w:snapToGrid w:val="0"/>
        <w:spacing w:line="360" w:lineRule="auto"/>
        <w:ind w:firstLine="480" w:firstLineChars="200"/>
        <w:rPr>
          <w:rFonts w:ascii="time" w:hAnsi="time"/>
          <w:szCs w:val="21"/>
        </w:rPr>
      </w:pPr>
    </w:p>
    <w:p>
      <w:pPr>
        <w:snapToGrid w:val="0"/>
        <w:spacing w:line="360" w:lineRule="auto"/>
        <w:ind w:firstLine="480" w:firstLineChars="200"/>
        <w:rPr>
          <w:rFonts w:ascii="time" w:hAnsi="time"/>
          <w:szCs w:val="21"/>
        </w:rPr>
      </w:pPr>
    </w:p>
    <w:p>
      <w:pPr>
        <w:snapToGrid w:val="0"/>
        <w:spacing w:line="360" w:lineRule="auto"/>
        <w:ind w:firstLine="480" w:firstLineChars="200"/>
        <w:rPr>
          <w:rFonts w:ascii="time" w:hAnsi="time"/>
          <w:szCs w:val="21"/>
        </w:rPr>
      </w:pPr>
    </w:p>
    <w:p>
      <w:pPr>
        <w:snapToGrid w:val="0"/>
        <w:spacing w:line="360" w:lineRule="auto"/>
        <w:ind w:firstLine="480" w:firstLineChars="200"/>
        <w:rPr>
          <w:rFonts w:ascii="time" w:hAnsi="time"/>
          <w:szCs w:val="21"/>
        </w:rPr>
      </w:pPr>
    </w:p>
    <w:p>
      <w:pPr>
        <w:snapToGrid w:val="0"/>
        <w:spacing w:line="360" w:lineRule="auto"/>
        <w:ind w:firstLine="480" w:firstLineChars="200"/>
        <w:rPr>
          <w:rFonts w:ascii="time" w:hAnsi="time"/>
          <w:szCs w:val="21"/>
        </w:rPr>
      </w:pPr>
    </w:p>
    <w:p>
      <w:pPr>
        <w:snapToGrid w:val="0"/>
        <w:spacing w:line="360" w:lineRule="auto"/>
        <w:ind w:firstLine="480" w:firstLineChars="200"/>
        <w:rPr>
          <w:rFonts w:ascii="time" w:hAnsi="time"/>
          <w:szCs w:val="21"/>
        </w:rPr>
      </w:pPr>
    </w:p>
    <w:p>
      <w:pPr>
        <w:snapToGrid w:val="0"/>
        <w:spacing w:line="360" w:lineRule="auto"/>
        <w:ind w:firstLine="480" w:firstLineChars="200"/>
        <w:rPr>
          <w:rFonts w:ascii="time" w:hAnsi="time"/>
          <w:szCs w:val="21"/>
        </w:rPr>
      </w:pPr>
    </w:p>
    <w:p>
      <w:pPr>
        <w:snapToGrid w:val="0"/>
        <w:spacing w:line="360" w:lineRule="auto"/>
        <w:ind w:firstLine="480" w:firstLineChars="200"/>
        <w:rPr>
          <w:rFonts w:ascii="time" w:hAnsi="time"/>
          <w:szCs w:val="21"/>
        </w:rPr>
      </w:pPr>
    </w:p>
    <w:p>
      <w:pPr>
        <w:snapToGrid w:val="0"/>
        <w:spacing w:line="360" w:lineRule="auto"/>
        <w:ind w:firstLine="480" w:firstLineChars="200"/>
        <w:rPr>
          <w:rFonts w:ascii="time" w:hAnsi="time"/>
          <w:szCs w:val="21"/>
        </w:rPr>
      </w:pPr>
    </w:p>
    <w:p>
      <w:pPr>
        <w:snapToGrid w:val="0"/>
        <w:spacing w:line="360" w:lineRule="auto"/>
        <w:ind w:firstLine="480" w:firstLineChars="200"/>
        <w:rPr>
          <w:rFonts w:ascii="time" w:hAnsi="time"/>
          <w:szCs w:val="21"/>
        </w:rPr>
      </w:pPr>
    </w:p>
    <w:p>
      <w:pPr>
        <w:snapToGrid w:val="0"/>
        <w:spacing w:line="360" w:lineRule="auto"/>
        <w:ind w:firstLine="480" w:firstLineChars="200"/>
        <w:rPr>
          <w:rFonts w:ascii="time" w:hAnsi="time"/>
          <w:szCs w:val="21"/>
        </w:rPr>
      </w:pPr>
    </w:p>
    <w:p>
      <w:pPr>
        <w:snapToGrid w:val="0"/>
        <w:spacing w:line="360" w:lineRule="auto"/>
        <w:ind w:firstLine="480" w:firstLineChars="200"/>
        <w:rPr>
          <w:rFonts w:ascii="time" w:hAnsi="time"/>
          <w:szCs w:val="21"/>
        </w:rPr>
      </w:pPr>
    </w:p>
    <w:p>
      <w:pPr>
        <w:snapToGrid w:val="0"/>
        <w:spacing w:line="360" w:lineRule="auto"/>
        <w:ind w:firstLine="480" w:firstLineChars="200"/>
        <w:rPr>
          <w:rFonts w:ascii="time" w:hAnsi="time"/>
          <w:szCs w:val="21"/>
        </w:rPr>
      </w:pPr>
    </w:p>
    <w:p>
      <w:pPr>
        <w:snapToGrid w:val="0"/>
        <w:spacing w:line="360" w:lineRule="auto"/>
        <w:ind w:firstLine="480" w:firstLineChars="200"/>
        <w:rPr>
          <w:rFonts w:ascii="time" w:hAnsi="time"/>
          <w:szCs w:val="21"/>
        </w:rPr>
      </w:pPr>
    </w:p>
    <w:p>
      <w:pPr>
        <w:snapToGrid w:val="0"/>
        <w:spacing w:line="360" w:lineRule="auto"/>
        <w:ind w:firstLine="480" w:firstLineChars="200"/>
        <w:rPr>
          <w:rFonts w:ascii="time" w:hAnsi="time"/>
          <w:szCs w:val="21"/>
        </w:rPr>
      </w:pPr>
    </w:p>
    <w:p>
      <w:pPr>
        <w:snapToGrid w:val="0"/>
        <w:spacing w:line="360" w:lineRule="auto"/>
        <w:ind w:firstLine="480" w:firstLineChars="200"/>
        <w:rPr>
          <w:rFonts w:ascii="time" w:hAnsi="time"/>
          <w:szCs w:val="21"/>
        </w:rPr>
      </w:pPr>
    </w:p>
    <w:p>
      <w:pPr>
        <w:snapToGrid w:val="0"/>
        <w:spacing w:line="360" w:lineRule="auto"/>
        <w:ind w:firstLine="480" w:firstLineChars="200"/>
        <w:rPr>
          <w:rFonts w:ascii="time" w:hAnsi="time"/>
          <w:szCs w:val="21"/>
        </w:rPr>
      </w:pPr>
    </w:p>
    <w:p>
      <w:pPr>
        <w:snapToGrid w:val="0"/>
        <w:spacing w:line="360" w:lineRule="auto"/>
        <w:ind w:firstLine="480" w:firstLineChars="200"/>
        <w:rPr>
          <w:rFonts w:ascii="time" w:hAnsi="time"/>
          <w:szCs w:val="21"/>
        </w:rPr>
      </w:pPr>
    </w:p>
    <w:p>
      <w:pPr>
        <w:spacing w:line="360" w:lineRule="auto"/>
        <w:rPr>
          <w:rFonts w:ascii="宋体" w:hAnsi="宋体" w:eastAsia="宋体" w:cs="宋体"/>
          <w:sz w:val="18"/>
          <w:szCs w:val="18"/>
        </w:rPr>
      </w:pPr>
      <w:r>
        <w:rPr>
          <w:rFonts w:hint="eastAsia" w:ascii="宋体" w:hAnsi="宋体" w:eastAsia="宋体" w:cs="宋体"/>
          <w:sz w:val="18"/>
          <w:szCs w:val="18"/>
        </w:rPr>
        <w:t xml:space="preserve">注： </w:t>
      </w:r>
    </w:p>
    <w:p>
      <w:pPr>
        <w:spacing w:line="360" w:lineRule="auto"/>
        <w:rPr>
          <w:rFonts w:ascii="宋体" w:hAnsi="宋体" w:eastAsia="宋体" w:cs="宋体"/>
          <w:sz w:val="18"/>
          <w:szCs w:val="18"/>
        </w:rPr>
      </w:pPr>
      <w:r>
        <w:rPr>
          <w:rFonts w:hint="eastAsia" w:ascii="宋体" w:hAnsi="宋体" w:eastAsia="宋体" w:cs="宋体"/>
          <w:sz w:val="18"/>
          <w:szCs w:val="18"/>
        </w:rPr>
        <w:t>（1）财务状况表应附经会计师事务所或审计机构审计的财务会计报表，包括资产负债表、现金流量表、利润表和财务情况说明书（或附注）的复印件。</w:t>
      </w:r>
    </w:p>
    <w:p>
      <w:pPr>
        <w:spacing w:line="360" w:lineRule="auto"/>
        <w:rPr>
          <w:rFonts w:ascii="宋体" w:hAnsi="宋体" w:eastAsia="宋体" w:cs="宋体"/>
          <w:sz w:val="18"/>
          <w:szCs w:val="18"/>
        </w:rPr>
      </w:pPr>
      <w:r>
        <w:rPr>
          <w:rFonts w:hint="eastAsia" w:ascii="宋体" w:hAnsi="宋体" w:eastAsia="宋体" w:cs="宋体"/>
          <w:sz w:val="18"/>
          <w:szCs w:val="18"/>
        </w:rPr>
        <w:t>（2）新成立企业不满足招标人年度要求的，投标人只提供成立后的资料。</w:t>
      </w:r>
    </w:p>
    <w:p>
      <w:pPr>
        <w:pStyle w:val="4"/>
        <w:spacing w:line="240" w:lineRule="auto"/>
        <w:jc w:val="center"/>
        <w:rPr>
          <w:rFonts w:ascii="time" w:hAnsi="time"/>
          <w:szCs w:val="28"/>
        </w:rPr>
      </w:pPr>
      <w:r>
        <w:rPr>
          <w:rFonts w:hint="eastAsia" w:ascii="宋体" w:hAnsi="宋体" w:cs="宋体"/>
          <w:sz w:val="20"/>
        </w:rPr>
        <w:br w:type="page"/>
      </w:r>
      <w:bookmarkStart w:id="190" w:name="_Toc17340"/>
      <w:r>
        <w:rPr>
          <w:rFonts w:hint="eastAsia" w:ascii="time" w:hAnsi="time"/>
          <w:szCs w:val="28"/>
        </w:rPr>
        <w:t>七</w:t>
      </w:r>
      <w:r>
        <w:rPr>
          <w:rFonts w:ascii="time" w:hAnsi="time"/>
          <w:szCs w:val="28"/>
        </w:rPr>
        <w:t>、</w:t>
      </w:r>
      <w:r>
        <w:rPr>
          <w:rFonts w:hint="eastAsia" w:ascii="time" w:hAnsi="time"/>
          <w:szCs w:val="28"/>
        </w:rPr>
        <w:t>项目组织机构</w:t>
      </w:r>
      <w:bookmarkEnd w:id="190"/>
    </w:p>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809"/>
        <w:gridCol w:w="1463"/>
        <w:gridCol w:w="1463"/>
        <w:gridCol w:w="1423"/>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907"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序号</w:t>
            </w:r>
          </w:p>
        </w:tc>
        <w:tc>
          <w:tcPr>
            <w:tcW w:w="1809"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姓名</w:t>
            </w:r>
          </w:p>
        </w:tc>
        <w:tc>
          <w:tcPr>
            <w:tcW w:w="1463"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年龄</w:t>
            </w:r>
          </w:p>
        </w:tc>
        <w:tc>
          <w:tcPr>
            <w:tcW w:w="1463"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职称</w:t>
            </w:r>
          </w:p>
        </w:tc>
        <w:tc>
          <w:tcPr>
            <w:tcW w:w="1423"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专业</w:t>
            </w:r>
          </w:p>
        </w:tc>
        <w:tc>
          <w:tcPr>
            <w:tcW w:w="1457"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07"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1</w:t>
            </w:r>
          </w:p>
        </w:tc>
        <w:tc>
          <w:tcPr>
            <w:tcW w:w="1809" w:type="dxa"/>
            <w:vAlign w:val="center"/>
          </w:tcPr>
          <w:p>
            <w:pPr>
              <w:spacing w:line="440" w:lineRule="exact"/>
              <w:jc w:val="center"/>
              <w:rPr>
                <w:rFonts w:ascii="宋体" w:hAnsi="宋体" w:eastAsia="宋体" w:cs="宋体"/>
                <w:szCs w:val="21"/>
              </w:rPr>
            </w:pPr>
          </w:p>
        </w:tc>
        <w:tc>
          <w:tcPr>
            <w:tcW w:w="1463" w:type="dxa"/>
            <w:vAlign w:val="center"/>
          </w:tcPr>
          <w:p>
            <w:pPr>
              <w:spacing w:line="440" w:lineRule="exact"/>
              <w:jc w:val="center"/>
              <w:rPr>
                <w:rFonts w:ascii="宋体" w:hAnsi="宋体" w:eastAsia="宋体" w:cs="宋体"/>
                <w:szCs w:val="21"/>
              </w:rPr>
            </w:pPr>
          </w:p>
        </w:tc>
        <w:tc>
          <w:tcPr>
            <w:tcW w:w="1463" w:type="dxa"/>
          </w:tcPr>
          <w:p>
            <w:pPr>
              <w:spacing w:line="440" w:lineRule="exact"/>
              <w:jc w:val="center"/>
              <w:rPr>
                <w:rFonts w:ascii="宋体" w:hAnsi="宋体" w:eastAsia="宋体" w:cs="宋体"/>
                <w:szCs w:val="21"/>
              </w:rPr>
            </w:pPr>
          </w:p>
        </w:tc>
        <w:tc>
          <w:tcPr>
            <w:tcW w:w="1423" w:type="dxa"/>
          </w:tcPr>
          <w:p>
            <w:pPr>
              <w:spacing w:line="440" w:lineRule="exact"/>
              <w:jc w:val="center"/>
              <w:rPr>
                <w:rFonts w:ascii="宋体" w:hAnsi="宋体" w:eastAsia="宋体" w:cs="宋体"/>
                <w:szCs w:val="21"/>
              </w:rPr>
            </w:pPr>
          </w:p>
        </w:tc>
        <w:tc>
          <w:tcPr>
            <w:tcW w:w="1457" w:type="dxa"/>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07"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2</w:t>
            </w:r>
          </w:p>
        </w:tc>
        <w:tc>
          <w:tcPr>
            <w:tcW w:w="1809" w:type="dxa"/>
            <w:vAlign w:val="center"/>
          </w:tcPr>
          <w:p>
            <w:pPr>
              <w:spacing w:line="440" w:lineRule="exact"/>
              <w:jc w:val="center"/>
              <w:rPr>
                <w:rFonts w:ascii="宋体" w:hAnsi="宋体" w:eastAsia="宋体" w:cs="宋体"/>
                <w:szCs w:val="21"/>
              </w:rPr>
            </w:pPr>
          </w:p>
        </w:tc>
        <w:tc>
          <w:tcPr>
            <w:tcW w:w="1463" w:type="dxa"/>
            <w:vAlign w:val="center"/>
          </w:tcPr>
          <w:p>
            <w:pPr>
              <w:spacing w:line="440" w:lineRule="exact"/>
              <w:jc w:val="center"/>
              <w:rPr>
                <w:rFonts w:ascii="宋体" w:hAnsi="宋体" w:eastAsia="宋体" w:cs="宋体"/>
                <w:szCs w:val="21"/>
              </w:rPr>
            </w:pPr>
          </w:p>
        </w:tc>
        <w:tc>
          <w:tcPr>
            <w:tcW w:w="1463" w:type="dxa"/>
          </w:tcPr>
          <w:p>
            <w:pPr>
              <w:spacing w:line="440" w:lineRule="exact"/>
              <w:jc w:val="center"/>
              <w:rPr>
                <w:rFonts w:ascii="宋体" w:hAnsi="宋体" w:eastAsia="宋体" w:cs="宋体"/>
                <w:szCs w:val="21"/>
              </w:rPr>
            </w:pPr>
          </w:p>
        </w:tc>
        <w:tc>
          <w:tcPr>
            <w:tcW w:w="1423" w:type="dxa"/>
          </w:tcPr>
          <w:p>
            <w:pPr>
              <w:spacing w:line="440" w:lineRule="exact"/>
              <w:jc w:val="center"/>
              <w:rPr>
                <w:rFonts w:ascii="宋体" w:hAnsi="宋体" w:eastAsia="宋体" w:cs="宋体"/>
                <w:szCs w:val="21"/>
              </w:rPr>
            </w:pPr>
          </w:p>
        </w:tc>
        <w:tc>
          <w:tcPr>
            <w:tcW w:w="1457" w:type="dxa"/>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07"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3</w:t>
            </w:r>
          </w:p>
        </w:tc>
        <w:tc>
          <w:tcPr>
            <w:tcW w:w="1809" w:type="dxa"/>
            <w:vAlign w:val="center"/>
          </w:tcPr>
          <w:p>
            <w:pPr>
              <w:spacing w:line="440" w:lineRule="exact"/>
              <w:jc w:val="center"/>
              <w:rPr>
                <w:rFonts w:ascii="宋体" w:hAnsi="宋体" w:eastAsia="宋体" w:cs="宋体"/>
                <w:szCs w:val="21"/>
              </w:rPr>
            </w:pPr>
          </w:p>
        </w:tc>
        <w:tc>
          <w:tcPr>
            <w:tcW w:w="1463" w:type="dxa"/>
            <w:vAlign w:val="center"/>
          </w:tcPr>
          <w:p>
            <w:pPr>
              <w:spacing w:line="440" w:lineRule="exact"/>
              <w:jc w:val="center"/>
              <w:rPr>
                <w:rFonts w:ascii="宋体" w:hAnsi="宋体" w:eastAsia="宋体" w:cs="宋体"/>
                <w:szCs w:val="21"/>
              </w:rPr>
            </w:pPr>
          </w:p>
        </w:tc>
        <w:tc>
          <w:tcPr>
            <w:tcW w:w="1463" w:type="dxa"/>
          </w:tcPr>
          <w:p>
            <w:pPr>
              <w:spacing w:line="440" w:lineRule="exact"/>
              <w:jc w:val="center"/>
              <w:rPr>
                <w:rFonts w:ascii="宋体" w:hAnsi="宋体" w:eastAsia="宋体" w:cs="宋体"/>
                <w:szCs w:val="21"/>
              </w:rPr>
            </w:pPr>
          </w:p>
        </w:tc>
        <w:tc>
          <w:tcPr>
            <w:tcW w:w="1423" w:type="dxa"/>
          </w:tcPr>
          <w:p>
            <w:pPr>
              <w:spacing w:line="440" w:lineRule="exact"/>
              <w:jc w:val="center"/>
              <w:rPr>
                <w:rFonts w:ascii="宋体" w:hAnsi="宋体" w:eastAsia="宋体" w:cs="宋体"/>
                <w:szCs w:val="21"/>
              </w:rPr>
            </w:pPr>
          </w:p>
        </w:tc>
        <w:tc>
          <w:tcPr>
            <w:tcW w:w="1457" w:type="dxa"/>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07"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4</w:t>
            </w:r>
          </w:p>
        </w:tc>
        <w:tc>
          <w:tcPr>
            <w:tcW w:w="1809" w:type="dxa"/>
            <w:vAlign w:val="center"/>
          </w:tcPr>
          <w:p>
            <w:pPr>
              <w:spacing w:line="440" w:lineRule="exact"/>
              <w:jc w:val="center"/>
              <w:rPr>
                <w:rFonts w:ascii="宋体" w:hAnsi="宋体" w:eastAsia="宋体" w:cs="宋体"/>
                <w:szCs w:val="21"/>
              </w:rPr>
            </w:pPr>
          </w:p>
        </w:tc>
        <w:tc>
          <w:tcPr>
            <w:tcW w:w="1463" w:type="dxa"/>
            <w:vAlign w:val="center"/>
          </w:tcPr>
          <w:p>
            <w:pPr>
              <w:spacing w:line="440" w:lineRule="exact"/>
              <w:jc w:val="center"/>
              <w:rPr>
                <w:rFonts w:ascii="宋体" w:hAnsi="宋体" w:eastAsia="宋体" w:cs="宋体"/>
                <w:szCs w:val="21"/>
              </w:rPr>
            </w:pPr>
          </w:p>
        </w:tc>
        <w:tc>
          <w:tcPr>
            <w:tcW w:w="1463" w:type="dxa"/>
          </w:tcPr>
          <w:p>
            <w:pPr>
              <w:spacing w:line="440" w:lineRule="exact"/>
              <w:jc w:val="center"/>
              <w:rPr>
                <w:rFonts w:ascii="宋体" w:hAnsi="宋体" w:eastAsia="宋体" w:cs="宋体"/>
                <w:szCs w:val="21"/>
              </w:rPr>
            </w:pPr>
          </w:p>
        </w:tc>
        <w:tc>
          <w:tcPr>
            <w:tcW w:w="1423" w:type="dxa"/>
          </w:tcPr>
          <w:p>
            <w:pPr>
              <w:spacing w:line="440" w:lineRule="exact"/>
              <w:jc w:val="center"/>
              <w:rPr>
                <w:rFonts w:ascii="宋体" w:hAnsi="宋体" w:eastAsia="宋体" w:cs="宋体"/>
                <w:szCs w:val="21"/>
              </w:rPr>
            </w:pPr>
          </w:p>
        </w:tc>
        <w:tc>
          <w:tcPr>
            <w:tcW w:w="1457" w:type="dxa"/>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07"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5</w:t>
            </w:r>
          </w:p>
        </w:tc>
        <w:tc>
          <w:tcPr>
            <w:tcW w:w="1809" w:type="dxa"/>
            <w:vAlign w:val="center"/>
          </w:tcPr>
          <w:p>
            <w:pPr>
              <w:spacing w:line="440" w:lineRule="exact"/>
              <w:jc w:val="center"/>
              <w:rPr>
                <w:rFonts w:ascii="宋体" w:hAnsi="宋体" w:eastAsia="宋体" w:cs="宋体"/>
                <w:szCs w:val="21"/>
              </w:rPr>
            </w:pPr>
          </w:p>
        </w:tc>
        <w:tc>
          <w:tcPr>
            <w:tcW w:w="1463" w:type="dxa"/>
            <w:vAlign w:val="center"/>
          </w:tcPr>
          <w:p>
            <w:pPr>
              <w:spacing w:line="440" w:lineRule="exact"/>
              <w:jc w:val="center"/>
              <w:rPr>
                <w:rFonts w:ascii="宋体" w:hAnsi="宋体" w:eastAsia="宋体" w:cs="宋体"/>
                <w:szCs w:val="21"/>
              </w:rPr>
            </w:pPr>
          </w:p>
        </w:tc>
        <w:tc>
          <w:tcPr>
            <w:tcW w:w="1463" w:type="dxa"/>
          </w:tcPr>
          <w:p>
            <w:pPr>
              <w:spacing w:line="440" w:lineRule="exact"/>
              <w:jc w:val="center"/>
              <w:rPr>
                <w:rFonts w:ascii="宋体" w:hAnsi="宋体" w:eastAsia="宋体" w:cs="宋体"/>
                <w:szCs w:val="21"/>
              </w:rPr>
            </w:pPr>
          </w:p>
        </w:tc>
        <w:tc>
          <w:tcPr>
            <w:tcW w:w="1423" w:type="dxa"/>
          </w:tcPr>
          <w:p>
            <w:pPr>
              <w:spacing w:line="440" w:lineRule="exact"/>
              <w:jc w:val="center"/>
              <w:rPr>
                <w:rFonts w:ascii="宋体" w:hAnsi="宋体" w:eastAsia="宋体" w:cs="宋体"/>
                <w:szCs w:val="21"/>
              </w:rPr>
            </w:pPr>
          </w:p>
        </w:tc>
        <w:tc>
          <w:tcPr>
            <w:tcW w:w="1457" w:type="dxa"/>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07"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6</w:t>
            </w:r>
          </w:p>
        </w:tc>
        <w:tc>
          <w:tcPr>
            <w:tcW w:w="1809" w:type="dxa"/>
            <w:vAlign w:val="center"/>
          </w:tcPr>
          <w:p>
            <w:pPr>
              <w:spacing w:line="440" w:lineRule="exact"/>
              <w:jc w:val="center"/>
              <w:rPr>
                <w:rFonts w:ascii="宋体" w:hAnsi="宋体" w:eastAsia="宋体" w:cs="宋体"/>
                <w:szCs w:val="21"/>
              </w:rPr>
            </w:pPr>
          </w:p>
        </w:tc>
        <w:tc>
          <w:tcPr>
            <w:tcW w:w="1463" w:type="dxa"/>
            <w:vAlign w:val="center"/>
          </w:tcPr>
          <w:p>
            <w:pPr>
              <w:spacing w:line="440" w:lineRule="exact"/>
              <w:jc w:val="center"/>
              <w:rPr>
                <w:rFonts w:ascii="宋体" w:hAnsi="宋体" w:eastAsia="宋体" w:cs="宋体"/>
                <w:szCs w:val="21"/>
              </w:rPr>
            </w:pPr>
          </w:p>
        </w:tc>
        <w:tc>
          <w:tcPr>
            <w:tcW w:w="1463" w:type="dxa"/>
          </w:tcPr>
          <w:p>
            <w:pPr>
              <w:spacing w:line="440" w:lineRule="exact"/>
              <w:jc w:val="center"/>
              <w:rPr>
                <w:rFonts w:ascii="宋体" w:hAnsi="宋体" w:eastAsia="宋体" w:cs="宋体"/>
                <w:szCs w:val="21"/>
              </w:rPr>
            </w:pPr>
          </w:p>
        </w:tc>
        <w:tc>
          <w:tcPr>
            <w:tcW w:w="1423" w:type="dxa"/>
          </w:tcPr>
          <w:p>
            <w:pPr>
              <w:spacing w:line="440" w:lineRule="exact"/>
              <w:jc w:val="center"/>
              <w:rPr>
                <w:rFonts w:ascii="宋体" w:hAnsi="宋体" w:eastAsia="宋体" w:cs="宋体"/>
                <w:szCs w:val="21"/>
              </w:rPr>
            </w:pPr>
          </w:p>
        </w:tc>
        <w:tc>
          <w:tcPr>
            <w:tcW w:w="1457" w:type="dxa"/>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07"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7</w:t>
            </w:r>
          </w:p>
        </w:tc>
        <w:tc>
          <w:tcPr>
            <w:tcW w:w="1809" w:type="dxa"/>
            <w:vAlign w:val="center"/>
          </w:tcPr>
          <w:p>
            <w:pPr>
              <w:spacing w:line="440" w:lineRule="exact"/>
              <w:jc w:val="center"/>
              <w:rPr>
                <w:rFonts w:ascii="宋体" w:hAnsi="宋体" w:eastAsia="宋体" w:cs="宋体"/>
                <w:szCs w:val="21"/>
              </w:rPr>
            </w:pPr>
          </w:p>
        </w:tc>
        <w:tc>
          <w:tcPr>
            <w:tcW w:w="1463" w:type="dxa"/>
            <w:vAlign w:val="center"/>
          </w:tcPr>
          <w:p>
            <w:pPr>
              <w:spacing w:line="440" w:lineRule="exact"/>
              <w:jc w:val="center"/>
              <w:rPr>
                <w:rFonts w:ascii="宋体" w:hAnsi="宋体" w:eastAsia="宋体" w:cs="宋体"/>
                <w:szCs w:val="21"/>
              </w:rPr>
            </w:pPr>
          </w:p>
        </w:tc>
        <w:tc>
          <w:tcPr>
            <w:tcW w:w="1463" w:type="dxa"/>
          </w:tcPr>
          <w:p>
            <w:pPr>
              <w:spacing w:line="440" w:lineRule="exact"/>
              <w:jc w:val="center"/>
              <w:rPr>
                <w:rFonts w:ascii="宋体" w:hAnsi="宋体" w:eastAsia="宋体" w:cs="宋体"/>
                <w:szCs w:val="21"/>
              </w:rPr>
            </w:pPr>
          </w:p>
        </w:tc>
        <w:tc>
          <w:tcPr>
            <w:tcW w:w="1423" w:type="dxa"/>
          </w:tcPr>
          <w:p>
            <w:pPr>
              <w:spacing w:line="440" w:lineRule="exact"/>
              <w:jc w:val="center"/>
              <w:rPr>
                <w:rFonts w:ascii="宋体" w:hAnsi="宋体" w:eastAsia="宋体" w:cs="宋体"/>
                <w:szCs w:val="21"/>
              </w:rPr>
            </w:pPr>
          </w:p>
        </w:tc>
        <w:tc>
          <w:tcPr>
            <w:tcW w:w="1457" w:type="dxa"/>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07"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8</w:t>
            </w:r>
          </w:p>
        </w:tc>
        <w:tc>
          <w:tcPr>
            <w:tcW w:w="1809" w:type="dxa"/>
            <w:vAlign w:val="center"/>
          </w:tcPr>
          <w:p>
            <w:pPr>
              <w:spacing w:line="440" w:lineRule="exact"/>
              <w:jc w:val="center"/>
              <w:rPr>
                <w:rFonts w:ascii="宋体" w:hAnsi="宋体" w:eastAsia="宋体" w:cs="宋体"/>
                <w:szCs w:val="21"/>
              </w:rPr>
            </w:pPr>
          </w:p>
        </w:tc>
        <w:tc>
          <w:tcPr>
            <w:tcW w:w="1463" w:type="dxa"/>
            <w:vAlign w:val="center"/>
          </w:tcPr>
          <w:p>
            <w:pPr>
              <w:spacing w:line="440" w:lineRule="exact"/>
              <w:jc w:val="center"/>
              <w:rPr>
                <w:rFonts w:ascii="宋体" w:hAnsi="宋体" w:eastAsia="宋体" w:cs="宋体"/>
                <w:szCs w:val="21"/>
              </w:rPr>
            </w:pPr>
          </w:p>
        </w:tc>
        <w:tc>
          <w:tcPr>
            <w:tcW w:w="1463" w:type="dxa"/>
          </w:tcPr>
          <w:p>
            <w:pPr>
              <w:spacing w:line="440" w:lineRule="exact"/>
              <w:jc w:val="center"/>
              <w:rPr>
                <w:rFonts w:ascii="宋体" w:hAnsi="宋体" w:eastAsia="宋体" w:cs="宋体"/>
                <w:szCs w:val="21"/>
              </w:rPr>
            </w:pPr>
          </w:p>
        </w:tc>
        <w:tc>
          <w:tcPr>
            <w:tcW w:w="1423" w:type="dxa"/>
          </w:tcPr>
          <w:p>
            <w:pPr>
              <w:spacing w:line="440" w:lineRule="exact"/>
              <w:jc w:val="center"/>
              <w:rPr>
                <w:rFonts w:ascii="宋体" w:hAnsi="宋体" w:eastAsia="宋体" w:cs="宋体"/>
                <w:szCs w:val="21"/>
              </w:rPr>
            </w:pPr>
          </w:p>
        </w:tc>
        <w:tc>
          <w:tcPr>
            <w:tcW w:w="1457" w:type="dxa"/>
          </w:tcPr>
          <w:p>
            <w:pPr>
              <w:spacing w:line="440" w:lineRule="exact"/>
              <w:jc w:val="center"/>
              <w:rPr>
                <w:rFonts w:ascii="宋体" w:hAnsi="宋体" w:eastAsia="宋体" w:cs="宋体"/>
                <w:szCs w:val="21"/>
              </w:rPr>
            </w:pPr>
          </w:p>
        </w:tc>
      </w:tr>
    </w:tbl>
    <w:p>
      <w:pPr>
        <w:topLinePunct/>
        <w:spacing w:line="440" w:lineRule="exact"/>
        <w:rPr>
          <w:rFonts w:ascii="宋体" w:hAnsi="宋体" w:eastAsia="宋体" w:cs="宋体"/>
          <w:sz w:val="20"/>
        </w:rPr>
      </w:pPr>
      <w:r>
        <w:rPr>
          <w:rFonts w:hint="eastAsia" w:ascii="宋体" w:hAnsi="宋体" w:eastAsia="宋体" w:cs="宋体"/>
          <w:sz w:val="20"/>
        </w:rPr>
        <w:t>注：表后应附对应的人员身份证及职称证复印件并加盖鲜章。</w:t>
      </w:r>
    </w:p>
    <w:p>
      <w:pPr>
        <w:rPr>
          <w:rFonts w:ascii="宋体" w:hAnsi="宋体" w:eastAsia="宋体" w:cs="宋体"/>
        </w:rPr>
      </w:pPr>
    </w:p>
    <w:p>
      <w:pPr>
        <w:pStyle w:val="4"/>
        <w:numPr>
          <w:ilvl w:val="0"/>
          <w:numId w:val="4"/>
        </w:numPr>
        <w:spacing w:line="240" w:lineRule="auto"/>
        <w:jc w:val="center"/>
        <w:rPr>
          <w:rFonts w:ascii="time" w:hAnsi="time"/>
          <w:szCs w:val="28"/>
        </w:rPr>
      </w:pPr>
      <w:r>
        <w:rPr>
          <w:rFonts w:ascii="time" w:hAnsi="time"/>
          <w:sz w:val="20"/>
        </w:rPr>
        <w:br w:type="page"/>
      </w:r>
      <w:bookmarkStart w:id="191" w:name="_Toc7147"/>
      <w:r>
        <w:rPr>
          <w:rFonts w:hint="eastAsia" w:ascii="time" w:hAnsi="time"/>
          <w:szCs w:val="28"/>
        </w:rPr>
        <w:t>相关业绩</w:t>
      </w:r>
      <w:bookmarkEnd w:id="191"/>
    </w:p>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408"/>
        <w:gridCol w:w="6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70" w:type="dxa"/>
            <w:vMerge w:val="restart"/>
            <w:vAlign w:val="center"/>
          </w:tcPr>
          <w:p>
            <w:pPr>
              <w:spacing w:line="440" w:lineRule="exact"/>
              <w:jc w:val="center"/>
              <w:rPr>
                <w:rFonts w:ascii="宋体" w:hAnsi="宋体" w:eastAsia="宋体" w:cs="宋体"/>
                <w:szCs w:val="21"/>
              </w:rPr>
            </w:pPr>
            <w:r>
              <w:rPr>
                <w:rFonts w:hint="eastAsia" w:ascii="宋体" w:hAnsi="宋体" w:eastAsia="宋体" w:cs="宋体"/>
                <w:szCs w:val="21"/>
              </w:rPr>
              <w:t>序号</w:t>
            </w:r>
          </w:p>
        </w:tc>
        <w:tc>
          <w:tcPr>
            <w:tcW w:w="1408" w:type="dxa"/>
            <w:vMerge w:val="restart"/>
            <w:vAlign w:val="center"/>
          </w:tcPr>
          <w:p>
            <w:pPr>
              <w:spacing w:line="440" w:lineRule="exact"/>
              <w:jc w:val="center"/>
              <w:rPr>
                <w:rFonts w:ascii="宋体" w:hAnsi="宋体" w:eastAsia="宋体" w:cs="宋体"/>
                <w:szCs w:val="21"/>
              </w:rPr>
            </w:pPr>
            <w:r>
              <w:rPr>
                <w:rFonts w:hint="eastAsia" w:ascii="宋体" w:hAnsi="宋体" w:eastAsia="宋体" w:cs="宋体"/>
                <w:szCs w:val="21"/>
              </w:rPr>
              <w:t>时间</w:t>
            </w:r>
          </w:p>
        </w:tc>
        <w:tc>
          <w:tcPr>
            <w:tcW w:w="6619" w:type="dxa"/>
            <w:vMerge w:val="restart"/>
            <w:vAlign w:val="center"/>
          </w:tcPr>
          <w:p>
            <w:pPr>
              <w:spacing w:line="440" w:lineRule="exact"/>
              <w:jc w:val="center"/>
              <w:rPr>
                <w:rFonts w:ascii="宋体" w:hAnsi="宋体" w:eastAsia="宋体" w:cs="宋体"/>
                <w:szCs w:val="21"/>
              </w:rPr>
            </w:pPr>
            <w:r>
              <w:rPr>
                <w:rFonts w:hint="eastAsia" w:ascii="宋体" w:hAnsi="宋体" w:eastAsia="宋体" w:cs="宋体"/>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70" w:type="dxa"/>
            <w:vMerge w:val="continue"/>
            <w:vAlign w:val="center"/>
          </w:tcPr>
          <w:p>
            <w:pPr>
              <w:spacing w:line="440" w:lineRule="exact"/>
              <w:jc w:val="center"/>
              <w:rPr>
                <w:rFonts w:ascii="宋体" w:hAnsi="宋体" w:eastAsia="宋体" w:cs="宋体"/>
                <w:szCs w:val="21"/>
              </w:rPr>
            </w:pPr>
          </w:p>
        </w:tc>
        <w:tc>
          <w:tcPr>
            <w:tcW w:w="1408" w:type="dxa"/>
            <w:vMerge w:val="continue"/>
            <w:vAlign w:val="center"/>
          </w:tcPr>
          <w:p>
            <w:pPr>
              <w:spacing w:line="440" w:lineRule="exact"/>
              <w:jc w:val="center"/>
              <w:rPr>
                <w:rFonts w:ascii="宋体" w:hAnsi="宋体" w:eastAsia="宋体" w:cs="宋体"/>
                <w:szCs w:val="21"/>
              </w:rPr>
            </w:pPr>
          </w:p>
        </w:tc>
        <w:tc>
          <w:tcPr>
            <w:tcW w:w="6619" w:type="dxa"/>
            <w:vMerge w:val="continue"/>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70"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1</w:t>
            </w:r>
          </w:p>
        </w:tc>
        <w:tc>
          <w:tcPr>
            <w:tcW w:w="1408" w:type="dxa"/>
            <w:vAlign w:val="center"/>
          </w:tcPr>
          <w:p>
            <w:pPr>
              <w:spacing w:line="440" w:lineRule="exact"/>
              <w:jc w:val="center"/>
              <w:rPr>
                <w:rFonts w:ascii="宋体" w:hAnsi="宋体" w:eastAsia="宋体" w:cs="宋体"/>
                <w:szCs w:val="21"/>
              </w:rPr>
            </w:pPr>
          </w:p>
        </w:tc>
        <w:tc>
          <w:tcPr>
            <w:tcW w:w="6619"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70"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2</w:t>
            </w:r>
          </w:p>
        </w:tc>
        <w:tc>
          <w:tcPr>
            <w:tcW w:w="1408" w:type="dxa"/>
            <w:vAlign w:val="center"/>
          </w:tcPr>
          <w:p>
            <w:pPr>
              <w:spacing w:line="440" w:lineRule="exact"/>
              <w:jc w:val="center"/>
              <w:rPr>
                <w:rFonts w:ascii="宋体" w:hAnsi="宋体" w:eastAsia="宋体" w:cs="宋体"/>
                <w:szCs w:val="21"/>
              </w:rPr>
            </w:pPr>
          </w:p>
        </w:tc>
        <w:tc>
          <w:tcPr>
            <w:tcW w:w="6619"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70"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3</w:t>
            </w:r>
          </w:p>
        </w:tc>
        <w:tc>
          <w:tcPr>
            <w:tcW w:w="1408" w:type="dxa"/>
            <w:vAlign w:val="center"/>
          </w:tcPr>
          <w:p>
            <w:pPr>
              <w:spacing w:line="440" w:lineRule="exact"/>
              <w:jc w:val="center"/>
              <w:rPr>
                <w:rFonts w:ascii="宋体" w:hAnsi="宋体" w:eastAsia="宋体" w:cs="宋体"/>
                <w:szCs w:val="21"/>
              </w:rPr>
            </w:pPr>
          </w:p>
        </w:tc>
        <w:tc>
          <w:tcPr>
            <w:tcW w:w="6619"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70"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4</w:t>
            </w:r>
          </w:p>
        </w:tc>
        <w:tc>
          <w:tcPr>
            <w:tcW w:w="1408" w:type="dxa"/>
            <w:vAlign w:val="center"/>
          </w:tcPr>
          <w:p>
            <w:pPr>
              <w:spacing w:line="440" w:lineRule="exact"/>
              <w:jc w:val="center"/>
              <w:rPr>
                <w:rFonts w:ascii="宋体" w:hAnsi="宋体" w:eastAsia="宋体" w:cs="宋体"/>
                <w:szCs w:val="21"/>
              </w:rPr>
            </w:pPr>
          </w:p>
        </w:tc>
        <w:tc>
          <w:tcPr>
            <w:tcW w:w="6619"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70"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5</w:t>
            </w:r>
          </w:p>
        </w:tc>
        <w:tc>
          <w:tcPr>
            <w:tcW w:w="1408" w:type="dxa"/>
            <w:vAlign w:val="center"/>
          </w:tcPr>
          <w:p>
            <w:pPr>
              <w:spacing w:line="440" w:lineRule="exact"/>
              <w:jc w:val="center"/>
              <w:rPr>
                <w:rFonts w:ascii="宋体" w:hAnsi="宋体" w:eastAsia="宋体" w:cs="宋体"/>
                <w:szCs w:val="21"/>
              </w:rPr>
            </w:pPr>
          </w:p>
        </w:tc>
        <w:tc>
          <w:tcPr>
            <w:tcW w:w="6619"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70"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6</w:t>
            </w:r>
          </w:p>
        </w:tc>
        <w:tc>
          <w:tcPr>
            <w:tcW w:w="1408" w:type="dxa"/>
            <w:vAlign w:val="center"/>
          </w:tcPr>
          <w:p>
            <w:pPr>
              <w:spacing w:line="440" w:lineRule="exact"/>
              <w:jc w:val="center"/>
              <w:rPr>
                <w:rFonts w:ascii="宋体" w:hAnsi="宋体" w:eastAsia="宋体" w:cs="宋体"/>
                <w:szCs w:val="21"/>
              </w:rPr>
            </w:pPr>
          </w:p>
        </w:tc>
        <w:tc>
          <w:tcPr>
            <w:tcW w:w="6619"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70"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7</w:t>
            </w:r>
          </w:p>
        </w:tc>
        <w:tc>
          <w:tcPr>
            <w:tcW w:w="1408" w:type="dxa"/>
            <w:vAlign w:val="center"/>
          </w:tcPr>
          <w:p>
            <w:pPr>
              <w:spacing w:line="440" w:lineRule="exact"/>
              <w:jc w:val="center"/>
              <w:rPr>
                <w:rFonts w:ascii="宋体" w:hAnsi="宋体" w:eastAsia="宋体" w:cs="宋体"/>
                <w:szCs w:val="21"/>
              </w:rPr>
            </w:pPr>
          </w:p>
        </w:tc>
        <w:tc>
          <w:tcPr>
            <w:tcW w:w="6619"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70"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8</w:t>
            </w:r>
          </w:p>
        </w:tc>
        <w:tc>
          <w:tcPr>
            <w:tcW w:w="1408" w:type="dxa"/>
            <w:vAlign w:val="center"/>
          </w:tcPr>
          <w:p>
            <w:pPr>
              <w:spacing w:line="440" w:lineRule="exact"/>
              <w:jc w:val="center"/>
              <w:rPr>
                <w:rFonts w:ascii="宋体" w:hAnsi="宋体" w:eastAsia="宋体" w:cs="宋体"/>
                <w:szCs w:val="21"/>
              </w:rPr>
            </w:pPr>
          </w:p>
        </w:tc>
        <w:tc>
          <w:tcPr>
            <w:tcW w:w="6619" w:type="dxa"/>
            <w:vAlign w:val="center"/>
          </w:tcPr>
          <w:p>
            <w:pPr>
              <w:spacing w:line="440" w:lineRule="exact"/>
              <w:jc w:val="center"/>
              <w:rPr>
                <w:rFonts w:ascii="宋体" w:hAnsi="宋体" w:eastAsia="宋体" w:cs="宋体"/>
                <w:szCs w:val="21"/>
              </w:rPr>
            </w:pPr>
          </w:p>
        </w:tc>
      </w:tr>
    </w:tbl>
    <w:p>
      <w:pPr>
        <w:topLinePunct/>
        <w:spacing w:line="440" w:lineRule="exact"/>
        <w:rPr>
          <w:rFonts w:ascii="宋体" w:hAnsi="宋体" w:eastAsia="宋体" w:cs="宋体"/>
          <w:sz w:val="20"/>
        </w:rPr>
      </w:pPr>
      <w:r>
        <w:rPr>
          <w:rFonts w:hint="eastAsia" w:ascii="宋体" w:hAnsi="宋体" w:eastAsia="宋体" w:cs="宋体"/>
          <w:sz w:val="20"/>
        </w:rPr>
        <w:t>注：表后应附对应的项目合同协议书复印件并加盖鲜章。</w:t>
      </w:r>
    </w:p>
    <w:p>
      <w:pPr>
        <w:pStyle w:val="4"/>
        <w:numPr>
          <w:ilvl w:val="0"/>
          <w:numId w:val="4"/>
        </w:numPr>
        <w:spacing w:line="240" w:lineRule="auto"/>
        <w:jc w:val="center"/>
        <w:rPr>
          <w:rFonts w:ascii="time" w:hAnsi="time"/>
          <w:szCs w:val="28"/>
        </w:rPr>
      </w:pPr>
      <w:r>
        <w:rPr>
          <w:rFonts w:ascii="time" w:hAnsi="time"/>
          <w:sz w:val="20"/>
        </w:rPr>
        <w:br w:type="page"/>
      </w:r>
      <w:bookmarkStart w:id="192" w:name="_Toc14843"/>
      <w:r>
        <w:rPr>
          <w:rFonts w:hint="eastAsia" w:ascii="time" w:hAnsi="time"/>
          <w:szCs w:val="28"/>
        </w:rPr>
        <w:t>工作方案</w:t>
      </w:r>
      <w:bookmarkEnd w:id="192"/>
    </w:p>
    <w:p/>
    <w:p>
      <w:pPr>
        <w:spacing w:line="360" w:lineRule="auto"/>
        <w:ind w:firstLine="480" w:firstLineChars="200"/>
        <w:rPr>
          <w:rFonts w:ascii="宋体" w:hAnsi="宋体" w:eastAsia="宋体" w:cs="宋体"/>
          <w:szCs w:val="30"/>
        </w:rPr>
      </w:pPr>
      <w:r>
        <w:rPr>
          <w:rFonts w:hint="eastAsia" w:ascii="宋体" w:hAnsi="宋体" w:eastAsia="宋体" w:cs="宋体"/>
          <w:szCs w:val="30"/>
        </w:rPr>
        <w:t>工作方案主要包括工作范围及深度、技术路线、工作内容、人员配置、质量保障措施、进度安排及保障措施、合理化建议等，由投标人自行拟定。</w:t>
      </w:r>
    </w:p>
    <w:bookmarkEnd w:id="0"/>
    <w:bookmarkEnd w:id="184"/>
    <w:bookmarkEnd w:id="185"/>
    <w:p>
      <w:pPr>
        <w:widowControl/>
        <w:autoSpaceDE/>
        <w:autoSpaceDN/>
        <w:adjustRightInd/>
        <w:rPr>
          <w:rFonts w:ascii="宋体" w:hAnsi="宋体" w:eastAsia="宋体"/>
          <w:b/>
          <w:bCs/>
          <w:szCs w:val="21"/>
        </w:rPr>
      </w:pPr>
    </w:p>
    <w:sectPr>
      <w:pgSz w:w="11907" w:h="16840"/>
      <w:pgMar w:top="1440" w:right="1440" w:bottom="1440" w:left="1440" w:header="992" w:footer="992" w:gutter="0"/>
      <w:cols w:equalWidth="0" w:num="1">
        <w:col w:w="9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dobe ｺﾚﾌ・Std R">
    <w:altName w:val="MS Gothic"/>
    <w:panose1 w:val="00000000000000000000"/>
    <w:charset w:val="80"/>
    <w:family w:val="swiss"/>
    <w:pitch w:val="default"/>
    <w:sig w:usb0="00000000" w:usb1="00000000" w:usb2="00000010" w:usb3="00000000" w:csb0="0002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time">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0963010"/>
    </w:sdtPr>
    <w:sdtContent>
      <w:p>
        <w:pPr>
          <w:pStyle w:val="30"/>
          <w:jc w:val="center"/>
        </w:pPr>
        <w:r>
          <w:fldChar w:fldCharType="begin"/>
        </w:r>
        <w:r>
          <w:instrText xml:space="preserve">PAGE   \* MERGEFORMAT</w:instrText>
        </w:r>
        <w:r>
          <w:fldChar w:fldCharType="separate"/>
        </w:r>
        <w:r>
          <w:rPr>
            <w:lang w:val="zh-CN"/>
          </w:rPr>
          <w:t>51</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autoSpaceDN/>
      <w:adjustRightInd/>
      <w:ind w:right="-874" w:rightChars="-364"/>
      <w:jc w:val="center"/>
      <w:rPr>
        <w:rFonts w:eastAsia="宋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宋体" w:hAnsi="宋体" w:eastAsia="宋体" w:cs="宋体"/>
        <w:sz w:val="21"/>
        <w:szCs w:val="21"/>
      </w:rPr>
    </w:pPr>
    <w:r>
      <w:rPr>
        <w:rFonts w:hint="eastAsia" w:ascii="宋体" w:hAnsi="宋体" w:eastAsia="宋体" w:cs="宋体"/>
        <w:sz w:val="21"/>
        <w:szCs w:val="21"/>
      </w:rPr>
      <w:t>金沙江金沙水电站竣工环境保护验收及陆生生态调查技术服务招标文件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C024C"/>
    <w:multiLevelType w:val="singleLevel"/>
    <w:tmpl w:val="892C024C"/>
    <w:lvl w:ilvl="0" w:tentative="0">
      <w:start w:val="8"/>
      <w:numFmt w:val="chineseCounting"/>
      <w:suff w:val="nothing"/>
      <w:lvlText w:val="%1、"/>
      <w:lvlJc w:val="left"/>
      <w:rPr>
        <w:rFonts w:hint="eastAsia"/>
      </w:rPr>
    </w:lvl>
  </w:abstractNum>
  <w:abstractNum w:abstractNumId="1">
    <w:nsid w:val="B15AFC50"/>
    <w:multiLevelType w:val="singleLevel"/>
    <w:tmpl w:val="B15AFC50"/>
    <w:lvl w:ilvl="0" w:tentative="0">
      <w:start w:val="1"/>
      <w:numFmt w:val="decimal"/>
      <w:suff w:val="nothing"/>
      <w:lvlText w:val="（%1）"/>
      <w:lvlJc w:val="left"/>
    </w:lvl>
  </w:abstractNum>
  <w:abstractNum w:abstractNumId="2">
    <w:nsid w:val="265D64A5"/>
    <w:multiLevelType w:val="multilevel"/>
    <w:tmpl w:val="265D64A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890E937"/>
    <w:multiLevelType w:val="singleLevel"/>
    <w:tmpl w:val="3890E937"/>
    <w:lvl w:ilvl="0" w:tentative="0">
      <w:start w:val="3"/>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hideSpellingErrors/>
  <w:revisionView w:markup="0"/>
  <w:trackRevisions w:val="1"/>
  <w:documentProtection w:enforcement="0"/>
  <w:defaultTabStop w:val="720"/>
  <w:drawingGridHorizontalSpacing w:val="120"/>
  <w:drawingGridVerticalSpacing w:val="163"/>
  <w:displayHorizontalDrawingGridEvery w:val="0"/>
  <w:displayVerticalDrawingGridEvery w:val="2"/>
  <w:doNotShadeFormData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BBB"/>
    <w:rsid w:val="000016F9"/>
    <w:rsid w:val="00002B40"/>
    <w:rsid w:val="000060B5"/>
    <w:rsid w:val="0000654B"/>
    <w:rsid w:val="000068D3"/>
    <w:rsid w:val="00006DC1"/>
    <w:rsid w:val="00010528"/>
    <w:rsid w:val="00010D3A"/>
    <w:rsid w:val="00012409"/>
    <w:rsid w:val="000163E2"/>
    <w:rsid w:val="00017F8F"/>
    <w:rsid w:val="0002238A"/>
    <w:rsid w:val="00022D38"/>
    <w:rsid w:val="00023E34"/>
    <w:rsid w:val="00025321"/>
    <w:rsid w:val="0002708C"/>
    <w:rsid w:val="00027B18"/>
    <w:rsid w:val="00030F1C"/>
    <w:rsid w:val="00030FDE"/>
    <w:rsid w:val="000340C0"/>
    <w:rsid w:val="00034B2C"/>
    <w:rsid w:val="00037FDB"/>
    <w:rsid w:val="0004181C"/>
    <w:rsid w:val="00042638"/>
    <w:rsid w:val="000451E4"/>
    <w:rsid w:val="000458D0"/>
    <w:rsid w:val="000465E8"/>
    <w:rsid w:val="00046CF4"/>
    <w:rsid w:val="000533F4"/>
    <w:rsid w:val="00053798"/>
    <w:rsid w:val="00053CBE"/>
    <w:rsid w:val="000569EC"/>
    <w:rsid w:val="00057745"/>
    <w:rsid w:val="00060C0D"/>
    <w:rsid w:val="000610A9"/>
    <w:rsid w:val="00061D3D"/>
    <w:rsid w:val="00061E11"/>
    <w:rsid w:val="0006412B"/>
    <w:rsid w:val="00066722"/>
    <w:rsid w:val="000668E5"/>
    <w:rsid w:val="000701BB"/>
    <w:rsid w:val="0007020E"/>
    <w:rsid w:val="00073314"/>
    <w:rsid w:val="0007342B"/>
    <w:rsid w:val="000734DC"/>
    <w:rsid w:val="00073759"/>
    <w:rsid w:val="000744D8"/>
    <w:rsid w:val="00074913"/>
    <w:rsid w:val="00081819"/>
    <w:rsid w:val="00084925"/>
    <w:rsid w:val="00084965"/>
    <w:rsid w:val="00084AD0"/>
    <w:rsid w:val="00084CE0"/>
    <w:rsid w:val="000850FD"/>
    <w:rsid w:val="00085460"/>
    <w:rsid w:val="0008681B"/>
    <w:rsid w:val="00090A04"/>
    <w:rsid w:val="000955E8"/>
    <w:rsid w:val="000978AD"/>
    <w:rsid w:val="000A02E7"/>
    <w:rsid w:val="000A0534"/>
    <w:rsid w:val="000A3997"/>
    <w:rsid w:val="000A55C5"/>
    <w:rsid w:val="000A586C"/>
    <w:rsid w:val="000A597B"/>
    <w:rsid w:val="000A5F9B"/>
    <w:rsid w:val="000B060A"/>
    <w:rsid w:val="000B12D3"/>
    <w:rsid w:val="000B5B44"/>
    <w:rsid w:val="000C3619"/>
    <w:rsid w:val="000C439C"/>
    <w:rsid w:val="000C4C67"/>
    <w:rsid w:val="000C66FF"/>
    <w:rsid w:val="000D21C4"/>
    <w:rsid w:val="000D3F92"/>
    <w:rsid w:val="000D4205"/>
    <w:rsid w:val="000D63AB"/>
    <w:rsid w:val="000E1176"/>
    <w:rsid w:val="000E3BA9"/>
    <w:rsid w:val="000E5C6C"/>
    <w:rsid w:val="000F3C07"/>
    <w:rsid w:val="000F57EF"/>
    <w:rsid w:val="000F6E65"/>
    <w:rsid w:val="000F7066"/>
    <w:rsid w:val="00104C10"/>
    <w:rsid w:val="00104C89"/>
    <w:rsid w:val="00104E6C"/>
    <w:rsid w:val="00105E09"/>
    <w:rsid w:val="0010767A"/>
    <w:rsid w:val="001104A2"/>
    <w:rsid w:val="00110B7D"/>
    <w:rsid w:val="00110E0C"/>
    <w:rsid w:val="001127D3"/>
    <w:rsid w:val="00113971"/>
    <w:rsid w:val="00114581"/>
    <w:rsid w:val="0011548D"/>
    <w:rsid w:val="001159C3"/>
    <w:rsid w:val="00115F27"/>
    <w:rsid w:val="001201DD"/>
    <w:rsid w:val="00122B14"/>
    <w:rsid w:val="00125A86"/>
    <w:rsid w:val="00125DFB"/>
    <w:rsid w:val="0013114F"/>
    <w:rsid w:val="00133F9A"/>
    <w:rsid w:val="001345B0"/>
    <w:rsid w:val="00135123"/>
    <w:rsid w:val="001358F7"/>
    <w:rsid w:val="001365E2"/>
    <w:rsid w:val="00140126"/>
    <w:rsid w:val="00144A1B"/>
    <w:rsid w:val="00147E2B"/>
    <w:rsid w:val="001503C5"/>
    <w:rsid w:val="0015105F"/>
    <w:rsid w:val="0015366A"/>
    <w:rsid w:val="001564AE"/>
    <w:rsid w:val="0016096F"/>
    <w:rsid w:val="00161500"/>
    <w:rsid w:val="001642E5"/>
    <w:rsid w:val="00164A60"/>
    <w:rsid w:val="00166173"/>
    <w:rsid w:val="00167752"/>
    <w:rsid w:val="00167763"/>
    <w:rsid w:val="001707D3"/>
    <w:rsid w:val="00171A99"/>
    <w:rsid w:val="001746CB"/>
    <w:rsid w:val="00175AAC"/>
    <w:rsid w:val="00175CCA"/>
    <w:rsid w:val="001819FD"/>
    <w:rsid w:val="0018399A"/>
    <w:rsid w:val="0018522D"/>
    <w:rsid w:val="00186480"/>
    <w:rsid w:val="00187FE2"/>
    <w:rsid w:val="001921EC"/>
    <w:rsid w:val="00195165"/>
    <w:rsid w:val="00195177"/>
    <w:rsid w:val="0019595F"/>
    <w:rsid w:val="001A0161"/>
    <w:rsid w:val="001A110C"/>
    <w:rsid w:val="001A32C7"/>
    <w:rsid w:val="001B1340"/>
    <w:rsid w:val="001B1507"/>
    <w:rsid w:val="001B1B07"/>
    <w:rsid w:val="001B211D"/>
    <w:rsid w:val="001B2D5E"/>
    <w:rsid w:val="001B333D"/>
    <w:rsid w:val="001B45DD"/>
    <w:rsid w:val="001B5973"/>
    <w:rsid w:val="001B602D"/>
    <w:rsid w:val="001B66FB"/>
    <w:rsid w:val="001C0296"/>
    <w:rsid w:val="001C2223"/>
    <w:rsid w:val="001C27B0"/>
    <w:rsid w:val="001C5502"/>
    <w:rsid w:val="001C73DA"/>
    <w:rsid w:val="001D0D22"/>
    <w:rsid w:val="001D1148"/>
    <w:rsid w:val="001D19C9"/>
    <w:rsid w:val="001D542A"/>
    <w:rsid w:val="001D62E4"/>
    <w:rsid w:val="001D7DFD"/>
    <w:rsid w:val="001E4B18"/>
    <w:rsid w:val="001E61E8"/>
    <w:rsid w:val="001E7449"/>
    <w:rsid w:val="001E792B"/>
    <w:rsid w:val="001F11DA"/>
    <w:rsid w:val="001F1484"/>
    <w:rsid w:val="001F3C8B"/>
    <w:rsid w:val="001F3F03"/>
    <w:rsid w:val="001F4CFB"/>
    <w:rsid w:val="00205885"/>
    <w:rsid w:val="00205D4E"/>
    <w:rsid w:val="00206625"/>
    <w:rsid w:val="00206B66"/>
    <w:rsid w:val="002075DE"/>
    <w:rsid w:val="0021005F"/>
    <w:rsid w:val="002116C4"/>
    <w:rsid w:val="0021355C"/>
    <w:rsid w:val="002143CD"/>
    <w:rsid w:val="002151A6"/>
    <w:rsid w:val="00221D26"/>
    <w:rsid w:val="002226FD"/>
    <w:rsid w:val="00223A0F"/>
    <w:rsid w:val="00224E66"/>
    <w:rsid w:val="002253A5"/>
    <w:rsid w:val="002264BD"/>
    <w:rsid w:val="00227CFB"/>
    <w:rsid w:val="002333C6"/>
    <w:rsid w:val="002345E0"/>
    <w:rsid w:val="00234711"/>
    <w:rsid w:val="00235B26"/>
    <w:rsid w:val="00236A64"/>
    <w:rsid w:val="00236F0F"/>
    <w:rsid w:val="00244BF2"/>
    <w:rsid w:val="00251568"/>
    <w:rsid w:val="00252B38"/>
    <w:rsid w:val="00252B9D"/>
    <w:rsid w:val="002553F1"/>
    <w:rsid w:val="00256224"/>
    <w:rsid w:val="00256FA7"/>
    <w:rsid w:val="00262B2C"/>
    <w:rsid w:val="00262B44"/>
    <w:rsid w:val="00262C6F"/>
    <w:rsid w:val="0026689C"/>
    <w:rsid w:val="0026726F"/>
    <w:rsid w:val="002700CF"/>
    <w:rsid w:val="00270CD9"/>
    <w:rsid w:val="00272051"/>
    <w:rsid w:val="002732AC"/>
    <w:rsid w:val="00275F56"/>
    <w:rsid w:val="00276DE5"/>
    <w:rsid w:val="0028072E"/>
    <w:rsid w:val="00282C22"/>
    <w:rsid w:val="00283B72"/>
    <w:rsid w:val="002851B2"/>
    <w:rsid w:val="00286760"/>
    <w:rsid w:val="00286AA7"/>
    <w:rsid w:val="00286D58"/>
    <w:rsid w:val="00286D78"/>
    <w:rsid w:val="00290787"/>
    <w:rsid w:val="002925AD"/>
    <w:rsid w:val="002953F9"/>
    <w:rsid w:val="00295640"/>
    <w:rsid w:val="00295656"/>
    <w:rsid w:val="002A0B15"/>
    <w:rsid w:val="002A1130"/>
    <w:rsid w:val="002A26FD"/>
    <w:rsid w:val="002A3622"/>
    <w:rsid w:val="002A589E"/>
    <w:rsid w:val="002A5F83"/>
    <w:rsid w:val="002A6BF5"/>
    <w:rsid w:val="002B2C24"/>
    <w:rsid w:val="002B65CE"/>
    <w:rsid w:val="002B6E06"/>
    <w:rsid w:val="002B7035"/>
    <w:rsid w:val="002B7CF9"/>
    <w:rsid w:val="002C0379"/>
    <w:rsid w:val="002C16BE"/>
    <w:rsid w:val="002C1C11"/>
    <w:rsid w:val="002C2879"/>
    <w:rsid w:val="002C7EDE"/>
    <w:rsid w:val="002D1225"/>
    <w:rsid w:val="002D1F9C"/>
    <w:rsid w:val="002D6941"/>
    <w:rsid w:val="002D7F13"/>
    <w:rsid w:val="002E1735"/>
    <w:rsid w:val="002E2BC6"/>
    <w:rsid w:val="002E4F79"/>
    <w:rsid w:val="002E5FDE"/>
    <w:rsid w:val="002F04FD"/>
    <w:rsid w:val="002F1A94"/>
    <w:rsid w:val="002F20BB"/>
    <w:rsid w:val="003000C6"/>
    <w:rsid w:val="00301315"/>
    <w:rsid w:val="0030211A"/>
    <w:rsid w:val="00302249"/>
    <w:rsid w:val="0030466B"/>
    <w:rsid w:val="00310B85"/>
    <w:rsid w:val="003112C2"/>
    <w:rsid w:val="0031256D"/>
    <w:rsid w:val="00312630"/>
    <w:rsid w:val="00312B9D"/>
    <w:rsid w:val="00313702"/>
    <w:rsid w:val="00315C79"/>
    <w:rsid w:val="00320CED"/>
    <w:rsid w:val="00321E08"/>
    <w:rsid w:val="0032382D"/>
    <w:rsid w:val="0032717C"/>
    <w:rsid w:val="0033285C"/>
    <w:rsid w:val="00333D0B"/>
    <w:rsid w:val="00333FE8"/>
    <w:rsid w:val="00335ED4"/>
    <w:rsid w:val="00337F87"/>
    <w:rsid w:val="00341697"/>
    <w:rsid w:val="00343E7B"/>
    <w:rsid w:val="00350291"/>
    <w:rsid w:val="003515F2"/>
    <w:rsid w:val="00351CDA"/>
    <w:rsid w:val="00352837"/>
    <w:rsid w:val="00352C66"/>
    <w:rsid w:val="00354C77"/>
    <w:rsid w:val="00356105"/>
    <w:rsid w:val="00357597"/>
    <w:rsid w:val="003622B7"/>
    <w:rsid w:val="003658E4"/>
    <w:rsid w:val="00365C25"/>
    <w:rsid w:val="003668E8"/>
    <w:rsid w:val="00366D6E"/>
    <w:rsid w:val="00367074"/>
    <w:rsid w:val="0037069B"/>
    <w:rsid w:val="00373580"/>
    <w:rsid w:val="00376CEF"/>
    <w:rsid w:val="00376D6A"/>
    <w:rsid w:val="00380FDB"/>
    <w:rsid w:val="00384B18"/>
    <w:rsid w:val="00386AD6"/>
    <w:rsid w:val="00390F5E"/>
    <w:rsid w:val="00391325"/>
    <w:rsid w:val="0039205F"/>
    <w:rsid w:val="00392E1B"/>
    <w:rsid w:val="00393C4A"/>
    <w:rsid w:val="0039537F"/>
    <w:rsid w:val="00395F58"/>
    <w:rsid w:val="00395F64"/>
    <w:rsid w:val="00396E16"/>
    <w:rsid w:val="003A132F"/>
    <w:rsid w:val="003A25BF"/>
    <w:rsid w:val="003A25CC"/>
    <w:rsid w:val="003A3330"/>
    <w:rsid w:val="003A52E2"/>
    <w:rsid w:val="003B07E4"/>
    <w:rsid w:val="003B1169"/>
    <w:rsid w:val="003B3FB9"/>
    <w:rsid w:val="003C0434"/>
    <w:rsid w:val="003C1BD6"/>
    <w:rsid w:val="003C278D"/>
    <w:rsid w:val="003C3B54"/>
    <w:rsid w:val="003C4090"/>
    <w:rsid w:val="003C5ADC"/>
    <w:rsid w:val="003C671B"/>
    <w:rsid w:val="003C7386"/>
    <w:rsid w:val="003C739D"/>
    <w:rsid w:val="003D0055"/>
    <w:rsid w:val="003E175F"/>
    <w:rsid w:val="003E2AF9"/>
    <w:rsid w:val="003E583A"/>
    <w:rsid w:val="003E6016"/>
    <w:rsid w:val="003E777B"/>
    <w:rsid w:val="003E7D5B"/>
    <w:rsid w:val="003F00D8"/>
    <w:rsid w:val="003F07D5"/>
    <w:rsid w:val="003F0BCB"/>
    <w:rsid w:val="003F2D42"/>
    <w:rsid w:val="003F40E2"/>
    <w:rsid w:val="003F7A98"/>
    <w:rsid w:val="004014B3"/>
    <w:rsid w:val="00402134"/>
    <w:rsid w:val="00402A7C"/>
    <w:rsid w:val="00402D4C"/>
    <w:rsid w:val="0040630B"/>
    <w:rsid w:val="00407125"/>
    <w:rsid w:val="0041004E"/>
    <w:rsid w:val="00410514"/>
    <w:rsid w:val="00412DC8"/>
    <w:rsid w:val="0041422F"/>
    <w:rsid w:val="00414D3B"/>
    <w:rsid w:val="00417E5B"/>
    <w:rsid w:val="00422754"/>
    <w:rsid w:val="004240DA"/>
    <w:rsid w:val="00424449"/>
    <w:rsid w:val="00424460"/>
    <w:rsid w:val="004250F7"/>
    <w:rsid w:val="00427267"/>
    <w:rsid w:val="00427AEE"/>
    <w:rsid w:val="004303DB"/>
    <w:rsid w:val="00430ADF"/>
    <w:rsid w:val="004324D7"/>
    <w:rsid w:val="00433840"/>
    <w:rsid w:val="0043768F"/>
    <w:rsid w:val="00442600"/>
    <w:rsid w:val="00442A98"/>
    <w:rsid w:val="00445387"/>
    <w:rsid w:val="00446768"/>
    <w:rsid w:val="004468B1"/>
    <w:rsid w:val="00446CDA"/>
    <w:rsid w:val="00450E99"/>
    <w:rsid w:val="00452578"/>
    <w:rsid w:val="00453585"/>
    <w:rsid w:val="00454FAA"/>
    <w:rsid w:val="00463354"/>
    <w:rsid w:val="004642EE"/>
    <w:rsid w:val="00465F9B"/>
    <w:rsid w:val="00471AC8"/>
    <w:rsid w:val="00480524"/>
    <w:rsid w:val="00480C3E"/>
    <w:rsid w:val="00480FC9"/>
    <w:rsid w:val="004821A5"/>
    <w:rsid w:val="0048275F"/>
    <w:rsid w:val="004855BA"/>
    <w:rsid w:val="004872E3"/>
    <w:rsid w:val="0049154E"/>
    <w:rsid w:val="004919E7"/>
    <w:rsid w:val="00491B05"/>
    <w:rsid w:val="00493290"/>
    <w:rsid w:val="00493D0B"/>
    <w:rsid w:val="00495208"/>
    <w:rsid w:val="00495970"/>
    <w:rsid w:val="004A187B"/>
    <w:rsid w:val="004A4C87"/>
    <w:rsid w:val="004A4F7B"/>
    <w:rsid w:val="004A5383"/>
    <w:rsid w:val="004A6C2D"/>
    <w:rsid w:val="004B081B"/>
    <w:rsid w:val="004B0B88"/>
    <w:rsid w:val="004B3CAB"/>
    <w:rsid w:val="004B761F"/>
    <w:rsid w:val="004C06B6"/>
    <w:rsid w:val="004C2004"/>
    <w:rsid w:val="004C2F35"/>
    <w:rsid w:val="004C3814"/>
    <w:rsid w:val="004C7347"/>
    <w:rsid w:val="004D005E"/>
    <w:rsid w:val="004D1564"/>
    <w:rsid w:val="004D2AC3"/>
    <w:rsid w:val="004D2CFC"/>
    <w:rsid w:val="004D4F21"/>
    <w:rsid w:val="004E167A"/>
    <w:rsid w:val="004E3491"/>
    <w:rsid w:val="004E7772"/>
    <w:rsid w:val="004F04E7"/>
    <w:rsid w:val="004F122C"/>
    <w:rsid w:val="004F2D60"/>
    <w:rsid w:val="004F30A6"/>
    <w:rsid w:val="004F322B"/>
    <w:rsid w:val="004F3999"/>
    <w:rsid w:val="004F3E4A"/>
    <w:rsid w:val="004F54AD"/>
    <w:rsid w:val="004F64A9"/>
    <w:rsid w:val="004F7086"/>
    <w:rsid w:val="0050102D"/>
    <w:rsid w:val="0050257A"/>
    <w:rsid w:val="00505AB9"/>
    <w:rsid w:val="00510046"/>
    <w:rsid w:val="0051567F"/>
    <w:rsid w:val="00517C08"/>
    <w:rsid w:val="00521B1C"/>
    <w:rsid w:val="00522159"/>
    <w:rsid w:val="00522670"/>
    <w:rsid w:val="0052551C"/>
    <w:rsid w:val="00526260"/>
    <w:rsid w:val="00526C48"/>
    <w:rsid w:val="005278C3"/>
    <w:rsid w:val="00533494"/>
    <w:rsid w:val="00533660"/>
    <w:rsid w:val="00534497"/>
    <w:rsid w:val="005365E6"/>
    <w:rsid w:val="005379AA"/>
    <w:rsid w:val="00541528"/>
    <w:rsid w:val="00542350"/>
    <w:rsid w:val="00542D91"/>
    <w:rsid w:val="005434FA"/>
    <w:rsid w:val="00551F20"/>
    <w:rsid w:val="00551F57"/>
    <w:rsid w:val="0055259A"/>
    <w:rsid w:val="00560807"/>
    <w:rsid w:val="005654C0"/>
    <w:rsid w:val="00565C24"/>
    <w:rsid w:val="00566CB0"/>
    <w:rsid w:val="00570B75"/>
    <w:rsid w:val="005763F1"/>
    <w:rsid w:val="00583587"/>
    <w:rsid w:val="00584CF0"/>
    <w:rsid w:val="0058604E"/>
    <w:rsid w:val="00587972"/>
    <w:rsid w:val="00590708"/>
    <w:rsid w:val="005947BA"/>
    <w:rsid w:val="0059512D"/>
    <w:rsid w:val="00595541"/>
    <w:rsid w:val="005967F2"/>
    <w:rsid w:val="005973A6"/>
    <w:rsid w:val="005A55D3"/>
    <w:rsid w:val="005A7728"/>
    <w:rsid w:val="005B3E18"/>
    <w:rsid w:val="005B408A"/>
    <w:rsid w:val="005B475A"/>
    <w:rsid w:val="005B59A2"/>
    <w:rsid w:val="005B77F4"/>
    <w:rsid w:val="005C2463"/>
    <w:rsid w:val="005C24ED"/>
    <w:rsid w:val="005C31D3"/>
    <w:rsid w:val="005C3511"/>
    <w:rsid w:val="005C3EC3"/>
    <w:rsid w:val="005C4AAB"/>
    <w:rsid w:val="005C77C4"/>
    <w:rsid w:val="005C79CD"/>
    <w:rsid w:val="005D062C"/>
    <w:rsid w:val="005D2092"/>
    <w:rsid w:val="005D56FF"/>
    <w:rsid w:val="005E0E0C"/>
    <w:rsid w:val="005E0E9B"/>
    <w:rsid w:val="005E286D"/>
    <w:rsid w:val="005E7919"/>
    <w:rsid w:val="005F0F28"/>
    <w:rsid w:val="005F2023"/>
    <w:rsid w:val="005F2454"/>
    <w:rsid w:val="005F3FB4"/>
    <w:rsid w:val="005F4745"/>
    <w:rsid w:val="005F4993"/>
    <w:rsid w:val="005F4A66"/>
    <w:rsid w:val="005F4B88"/>
    <w:rsid w:val="005F4D6D"/>
    <w:rsid w:val="00606BA9"/>
    <w:rsid w:val="00610EFB"/>
    <w:rsid w:val="00612292"/>
    <w:rsid w:val="00612B0D"/>
    <w:rsid w:val="00614427"/>
    <w:rsid w:val="00615C04"/>
    <w:rsid w:val="0061703C"/>
    <w:rsid w:val="00617E49"/>
    <w:rsid w:val="00623D7B"/>
    <w:rsid w:val="00627E46"/>
    <w:rsid w:val="006345D7"/>
    <w:rsid w:val="00637EA3"/>
    <w:rsid w:val="00640399"/>
    <w:rsid w:val="006408F1"/>
    <w:rsid w:val="00642535"/>
    <w:rsid w:val="00644695"/>
    <w:rsid w:val="0065504F"/>
    <w:rsid w:val="00655FF4"/>
    <w:rsid w:val="0065620B"/>
    <w:rsid w:val="00656836"/>
    <w:rsid w:val="006633DE"/>
    <w:rsid w:val="0066387E"/>
    <w:rsid w:val="00664021"/>
    <w:rsid w:val="0066461F"/>
    <w:rsid w:val="00665AEB"/>
    <w:rsid w:val="00665B01"/>
    <w:rsid w:val="006666E2"/>
    <w:rsid w:val="0067023B"/>
    <w:rsid w:val="006704DD"/>
    <w:rsid w:val="00671699"/>
    <w:rsid w:val="00675B72"/>
    <w:rsid w:val="00681052"/>
    <w:rsid w:val="00685647"/>
    <w:rsid w:val="0069356B"/>
    <w:rsid w:val="006942CC"/>
    <w:rsid w:val="006945FF"/>
    <w:rsid w:val="00694BAE"/>
    <w:rsid w:val="00696F20"/>
    <w:rsid w:val="006A010D"/>
    <w:rsid w:val="006A2EF7"/>
    <w:rsid w:val="006A3C2C"/>
    <w:rsid w:val="006A557A"/>
    <w:rsid w:val="006A5E8C"/>
    <w:rsid w:val="006A633E"/>
    <w:rsid w:val="006B0B79"/>
    <w:rsid w:val="006B4220"/>
    <w:rsid w:val="006B4F00"/>
    <w:rsid w:val="006B58F4"/>
    <w:rsid w:val="006B7E58"/>
    <w:rsid w:val="006C0976"/>
    <w:rsid w:val="006C225E"/>
    <w:rsid w:val="006C2692"/>
    <w:rsid w:val="006C44DE"/>
    <w:rsid w:val="006C57B0"/>
    <w:rsid w:val="006C7EAD"/>
    <w:rsid w:val="006D2D8A"/>
    <w:rsid w:val="006D4DC9"/>
    <w:rsid w:val="006E04BB"/>
    <w:rsid w:val="006E129A"/>
    <w:rsid w:val="006E222D"/>
    <w:rsid w:val="006E4FAE"/>
    <w:rsid w:val="006E4FB4"/>
    <w:rsid w:val="006F1171"/>
    <w:rsid w:val="006F47BC"/>
    <w:rsid w:val="006F56F0"/>
    <w:rsid w:val="006F619A"/>
    <w:rsid w:val="006F67A4"/>
    <w:rsid w:val="00702487"/>
    <w:rsid w:val="00702B57"/>
    <w:rsid w:val="007039E9"/>
    <w:rsid w:val="00707429"/>
    <w:rsid w:val="00707868"/>
    <w:rsid w:val="00707FAC"/>
    <w:rsid w:val="00710051"/>
    <w:rsid w:val="007143E9"/>
    <w:rsid w:val="007148BD"/>
    <w:rsid w:val="00714FBE"/>
    <w:rsid w:val="00720FC3"/>
    <w:rsid w:val="00721C9F"/>
    <w:rsid w:val="00723E2E"/>
    <w:rsid w:val="007323E9"/>
    <w:rsid w:val="007339F7"/>
    <w:rsid w:val="007404AF"/>
    <w:rsid w:val="0074255B"/>
    <w:rsid w:val="00743BC0"/>
    <w:rsid w:val="00746991"/>
    <w:rsid w:val="007470F4"/>
    <w:rsid w:val="00747343"/>
    <w:rsid w:val="007508D1"/>
    <w:rsid w:val="00751144"/>
    <w:rsid w:val="0075179C"/>
    <w:rsid w:val="00753D67"/>
    <w:rsid w:val="007559A1"/>
    <w:rsid w:val="007571CF"/>
    <w:rsid w:val="007574A8"/>
    <w:rsid w:val="0075772D"/>
    <w:rsid w:val="0076190E"/>
    <w:rsid w:val="007651A5"/>
    <w:rsid w:val="00766BAC"/>
    <w:rsid w:val="00766C5E"/>
    <w:rsid w:val="00770A55"/>
    <w:rsid w:val="00770B5E"/>
    <w:rsid w:val="007734B7"/>
    <w:rsid w:val="0077395A"/>
    <w:rsid w:val="00773F9A"/>
    <w:rsid w:val="007749A0"/>
    <w:rsid w:val="00774E6C"/>
    <w:rsid w:val="00776648"/>
    <w:rsid w:val="00777D84"/>
    <w:rsid w:val="007831B7"/>
    <w:rsid w:val="00784FCD"/>
    <w:rsid w:val="007851D6"/>
    <w:rsid w:val="00785387"/>
    <w:rsid w:val="00785E7E"/>
    <w:rsid w:val="0078650C"/>
    <w:rsid w:val="00792A57"/>
    <w:rsid w:val="007930AC"/>
    <w:rsid w:val="00793EE6"/>
    <w:rsid w:val="00794223"/>
    <w:rsid w:val="00795E54"/>
    <w:rsid w:val="00796B56"/>
    <w:rsid w:val="007A2FBB"/>
    <w:rsid w:val="007A7498"/>
    <w:rsid w:val="007B0D7C"/>
    <w:rsid w:val="007B36E1"/>
    <w:rsid w:val="007C6FCD"/>
    <w:rsid w:val="007D1339"/>
    <w:rsid w:val="007D4583"/>
    <w:rsid w:val="007E3375"/>
    <w:rsid w:val="007E5F42"/>
    <w:rsid w:val="007E6D99"/>
    <w:rsid w:val="007F0304"/>
    <w:rsid w:val="007F3C09"/>
    <w:rsid w:val="007F67FB"/>
    <w:rsid w:val="00800D23"/>
    <w:rsid w:val="0080245E"/>
    <w:rsid w:val="00805255"/>
    <w:rsid w:val="00805BA1"/>
    <w:rsid w:val="00806725"/>
    <w:rsid w:val="008067AD"/>
    <w:rsid w:val="00810C9F"/>
    <w:rsid w:val="00811171"/>
    <w:rsid w:val="00817B63"/>
    <w:rsid w:val="00817CCB"/>
    <w:rsid w:val="00820341"/>
    <w:rsid w:val="008227EE"/>
    <w:rsid w:val="008236FD"/>
    <w:rsid w:val="00823D5D"/>
    <w:rsid w:val="00824FA4"/>
    <w:rsid w:val="008277B9"/>
    <w:rsid w:val="00827948"/>
    <w:rsid w:val="0082795B"/>
    <w:rsid w:val="00827BEC"/>
    <w:rsid w:val="00830492"/>
    <w:rsid w:val="00830EBF"/>
    <w:rsid w:val="00832575"/>
    <w:rsid w:val="00835940"/>
    <w:rsid w:val="00835FA1"/>
    <w:rsid w:val="008362FE"/>
    <w:rsid w:val="00845F06"/>
    <w:rsid w:val="00846D33"/>
    <w:rsid w:val="0084766D"/>
    <w:rsid w:val="0084788B"/>
    <w:rsid w:val="00847A07"/>
    <w:rsid w:val="00847B8F"/>
    <w:rsid w:val="00850C71"/>
    <w:rsid w:val="00851D5A"/>
    <w:rsid w:val="00852DFA"/>
    <w:rsid w:val="00854175"/>
    <w:rsid w:val="00857D0F"/>
    <w:rsid w:val="00860108"/>
    <w:rsid w:val="00860A8A"/>
    <w:rsid w:val="008615F4"/>
    <w:rsid w:val="00861C52"/>
    <w:rsid w:val="00862754"/>
    <w:rsid w:val="008669AB"/>
    <w:rsid w:val="00867ECC"/>
    <w:rsid w:val="008736E0"/>
    <w:rsid w:val="00874B25"/>
    <w:rsid w:val="00882103"/>
    <w:rsid w:val="0088623B"/>
    <w:rsid w:val="0088652F"/>
    <w:rsid w:val="008871B5"/>
    <w:rsid w:val="0088768B"/>
    <w:rsid w:val="00887F2D"/>
    <w:rsid w:val="008904B8"/>
    <w:rsid w:val="00892669"/>
    <w:rsid w:val="00895D51"/>
    <w:rsid w:val="00895F55"/>
    <w:rsid w:val="008A024B"/>
    <w:rsid w:val="008A26AE"/>
    <w:rsid w:val="008A2F16"/>
    <w:rsid w:val="008A408A"/>
    <w:rsid w:val="008A511F"/>
    <w:rsid w:val="008B02F9"/>
    <w:rsid w:val="008B0AC5"/>
    <w:rsid w:val="008B12AF"/>
    <w:rsid w:val="008B1C3C"/>
    <w:rsid w:val="008B22CB"/>
    <w:rsid w:val="008B4AD2"/>
    <w:rsid w:val="008B5E62"/>
    <w:rsid w:val="008B68C4"/>
    <w:rsid w:val="008B6966"/>
    <w:rsid w:val="008B7534"/>
    <w:rsid w:val="008B780F"/>
    <w:rsid w:val="008B7F52"/>
    <w:rsid w:val="008C333C"/>
    <w:rsid w:val="008C38D9"/>
    <w:rsid w:val="008C39C4"/>
    <w:rsid w:val="008C429B"/>
    <w:rsid w:val="008C42A9"/>
    <w:rsid w:val="008C714F"/>
    <w:rsid w:val="008D079A"/>
    <w:rsid w:val="008D35AE"/>
    <w:rsid w:val="008D365E"/>
    <w:rsid w:val="008D46D9"/>
    <w:rsid w:val="008D56FA"/>
    <w:rsid w:val="008D65AC"/>
    <w:rsid w:val="008D7018"/>
    <w:rsid w:val="008E16BB"/>
    <w:rsid w:val="008E1C04"/>
    <w:rsid w:val="008E4B01"/>
    <w:rsid w:val="008E4C3D"/>
    <w:rsid w:val="008E7331"/>
    <w:rsid w:val="008E7579"/>
    <w:rsid w:val="008F1131"/>
    <w:rsid w:val="008F495F"/>
    <w:rsid w:val="008F4B44"/>
    <w:rsid w:val="008F4D86"/>
    <w:rsid w:val="008F5105"/>
    <w:rsid w:val="008F59CE"/>
    <w:rsid w:val="008F5E48"/>
    <w:rsid w:val="008F652F"/>
    <w:rsid w:val="008F66C3"/>
    <w:rsid w:val="008F7116"/>
    <w:rsid w:val="0090008D"/>
    <w:rsid w:val="009006C3"/>
    <w:rsid w:val="00907892"/>
    <w:rsid w:val="009127EC"/>
    <w:rsid w:val="00914351"/>
    <w:rsid w:val="00915275"/>
    <w:rsid w:val="00916004"/>
    <w:rsid w:val="00916C4D"/>
    <w:rsid w:val="00916FB5"/>
    <w:rsid w:val="00917A26"/>
    <w:rsid w:val="00917CCB"/>
    <w:rsid w:val="00917EA8"/>
    <w:rsid w:val="0092038F"/>
    <w:rsid w:val="00923927"/>
    <w:rsid w:val="0092577A"/>
    <w:rsid w:val="0092745B"/>
    <w:rsid w:val="0092745E"/>
    <w:rsid w:val="009274CC"/>
    <w:rsid w:val="00933AEF"/>
    <w:rsid w:val="00934121"/>
    <w:rsid w:val="00936C1E"/>
    <w:rsid w:val="00937BCB"/>
    <w:rsid w:val="00943A72"/>
    <w:rsid w:val="00943AE5"/>
    <w:rsid w:val="00951E32"/>
    <w:rsid w:val="009524A8"/>
    <w:rsid w:val="00954CB1"/>
    <w:rsid w:val="009553E8"/>
    <w:rsid w:val="00961564"/>
    <w:rsid w:val="0096161A"/>
    <w:rsid w:val="00961698"/>
    <w:rsid w:val="009626F1"/>
    <w:rsid w:val="009644EA"/>
    <w:rsid w:val="0096460A"/>
    <w:rsid w:val="00964D96"/>
    <w:rsid w:val="009710CB"/>
    <w:rsid w:val="0097137C"/>
    <w:rsid w:val="0097231B"/>
    <w:rsid w:val="009737C6"/>
    <w:rsid w:val="00973F94"/>
    <w:rsid w:val="00974584"/>
    <w:rsid w:val="00974DAC"/>
    <w:rsid w:val="00975C68"/>
    <w:rsid w:val="0097623B"/>
    <w:rsid w:val="00976744"/>
    <w:rsid w:val="0097687F"/>
    <w:rsid w:val="00977CC8"/>
    <w:rsid w:val="00982038"/>
    <w:rsid w:val="00983136"/>
    <w:rsid w:val="00986E90"/>
    <w:rsid w:val="0099075E"/>
    <w:rsid w:val="0099271D"/>
    <w:rsid w:val="00995FF6"/>
    <w:rsid w:val="009A17B3"/>
    <w:rsid w:val="009A6B3C"/>
    <w:rsid w:val="009A7308"/>
    <w:rsid w:val="009B41F1"/>
    <w:rsid w:val="009B6F9E"/>
    <w:rsid w:val="009B7899"/>
    <w:rsid w:val="009B7A82"/>
    <w:rsid w:val="009C0085"/>
    <w:rsid w:val="009C0F09"/>
    <w:rsid w:val="009C25D7"/>
    <w:rsid w:val="009C2ADF"/>
    <w:rsid w:val="009C2DB9"/>
    <w:rsid w:val="009C5C9C"/>
    <w:rsid w:val="009C76D9"/>
    <w:rsid w:val="009D1B45"/>
    <w:rsid w:val="009D1E7C"/>
    <w:rsid w:val="009D632A"/>
    <w:rsid w:val="009D773B"/>
    <w:rsid w:val="009D79A5"/>
    <w:rsid w:val="009E20A3"/>
    <w:rsid w:val="009E3A39"/>
    <w:rsid w:val="009E43BA"/>
    <w:rsid w:val="009E517D"/>
    <w:rsid w:val="009E51EE"/>
    <w:rsid w:val="009E5DEF"/>
    <w:rsid w:val="009E7A5B"/>
    <w:rsid w:val="009F1E3F"/>
    <w:rsid w:val="009F272E"/>
    <w:rsid w:val="009F318C"/>
    <w:rsid w:val="009F3BBF"/>
    <w:rsid w:val="009F463C"/>
    <w:rsid w:val="009F5AD3"/>
    <w:rsid w:val="009F656A"/>
    <w:rsid w:val="009F7148"/>
    <w:rsid w:val="00A019FC"/>
    <w:rsid w:val="00A03C1A"/>
    <w:rsid w:val="00A04108"/>
    <w:rsid w:val="00A07906"/>
    <w:rsid w:val="00A07DA6"/>
    <w:rsid w:val="00A118D2"/>
    <w:rsid w:val="00A13EA4"/>
    <w:rsid w:val="00A14D84"/>
    <w:rsid w:val="00A223E7"/>
    <w:rsid w:val="00A231DF"/>
    <w:rsid w:val="00A30AC2"/>
    <w:rsid w:val="00A31930"/>
    <w:rsid w:val="00A34497"/>
    <w:rsid w:val="00A35C36"/>
    <w:rsid w:val="00A35E82"/>
    <w:rsid w:val="00A3658F"/>
    <w:rsid w:val="00A41FC5"/>
    <w:rsid w:val="00A42F3A"/>
    <w:rsid w:val="00A43076"/>
    <w:rsid w:val="00A44191"/>
    <w:rsid w:val="00A462EB"/>
    <w:rsid w:val="00A50D3C"/>
    <w:rsid w:val="00A52A5C"/>
    <w:rsid w:val="00A5405E"/>
    <w:rsid w:val="00A56411"/>
    <w:rsid w:val="00A60DE8"/>
    <w:rsid w:val="00A612A0"/>
    <w:rsid w:val="00A614D2"/>
    <w:rsid w:val="00A61BDC"/>
    <w:rsid w:val="00A72944"/>
    <w:rsid w:val="00A73793"/>
    <w:rsid w:val="00A755FB"/>
    <w:rsid w:val="00A75F5A"/>
    <w:rsid w:val="00A77F77"/>
    <w:rsid w:val="00A81461"/>
    <w:rsid w:val="00A81B57"/>
    <w:rsid w:val="00A87106"/>
    <w:rsid w:val="00A87AD8"/>
    <w:rsid w:val="00A9145B"/>
    <w:rsid w:val="00A91F65"/>
    <w:rsid w:val="00A930F9"/>
    <w:rsid w:val="00A93694"/>
    <w:rsid w:val="00A93D38"/>
    <w:rsid w:val="00A94137"/>
    <w:rsid w:val="00A95B31"/>
    <w:rsid w:val="00A97C23"/>
    <w:rsid w:val="00AA09A1"/>
    <w:rsid w:val="00AA1FF2"/>
    <w:rsid w:val="00AA2DA3"/>
    <w:rsid w:val="00AA4595"/>
    <w:rsid w:val="00AA4824"/>
    <w:rsid w:val="00AA4987"/>
    <w:rsid w:val="00AA4A30"/>
    <w:rsid w:val="00AA4EE5"/>
    <w:rsid w:val="00AA557F"/>
    <w:rsid w:val="00AB2DBA"/>
    <w:rsid w:val="00AB6D92"/>
    <w:rsid w:val="00AB7AAF"/>
    <w:rsid w:val="00AC0A64"/>
    <w:rsid w:val="00AC1824"/>
    <w:rsid w:val="00AC2F2F"/>
    <w:rsid w:val="00AC516B"/>
    <w:rsid w:val="00AC5D9D"/>
    <w:rsid w:val="00AC71DB"/>
    <w:rsid w:val="00AC75B1"/>
    <w:rsid w:val="00AD2539"/>
    <w:rsid w:val="00AD5802"/>
    <w:rsid w:val="00AD6EEB"/>
    <w:rsid w:val="00AE13BB"/>
    <w:rsid w:val="00AE743C"/>
    <w:rsid w:val="00AF2203"/>
    <w:rsid w:val="00AF42C2"/>
    <w:rsid w:val="00AF4912"/>
    <w:rsid w:val="00AF4AB6"/>
    <w:rsid w:val="00AF4EB4"/>
    <w:rsid w:val="00AF5F33"/>
    <w:rsid w:val="00B03802"/>
    <w:rsid w:val="00B04561"/>
    <w:rsid w:val="00B04577"/>
    <w:rsid w:val="00B04E3C"/>
    <w:rsid w:val="00B07033"/>
    <w:rsid w:val="00B10C8E"/>
    <w:rsid w:val="00B11288"/>
    <w:rsid w:val="00B13C4C"/>
    <w:rsid w:val="00B22391"/>
    <w:rsid w:val="00B30E03"/>
    <w:rsid w:val="00B3240B"/>
    <w:rsid w:val="00B324C3"/>
    <w:rsid w:val="00B32845"/>
    <w:rsid w:val="00B33E6F"/>
    <w:rsid w:val="00B33EC3"/>
    <w:rsid w:val="00B36676"/>
    <w:rsid w:val="00B36EE5"/>
    <w:rsid w:val="00B377ED"/>
    <w:rsid w:val="00B40ADB"/>
    <w:rsid w:val="00B418A9"/>
    <w:rsid w:val="00B42C1E"/>
    <w:rsid w:val="00B430CF"/>
    <w:rsid w:val="00B44417"/>
    <w:rsid w:val="00B454A5"/>
    <w:rsid w:val="00B4774B"/>
    <w:rsid w:val="00B47A3C"/>
    <w:rsid w:val="00B521B4"/>
    <w:rsid w:val="00B527BB"/>
    <w:rsid w:val="00B537D8"/>
    <w:rsid w:val="00B56517"/>
    <w:rsid w:val="00B5757E"/>
    <w:rsid w:val="00B621F9"/>
    <w:rsid w:val="00B65AEC"/>
    <w:rsid w:val="00B70741"/>
    <w:rsid w:val="00B71E40"/>
    <w:rsid w:val="00B72B7A"/>
    <w:rsid w:val="00B7347E"/>
    <w:rsid w:val="00B755F5"/>
    <w:rsid w:val="00B75971"/>
    <w:rsid w:val="00B76404"/>
    <w:rsid w:val="00B76565"/>
    <w:rsid w:val="00B771D9"/>
    <w:rsid w:val="00B77EE0"/>
    <w:rsid w:val="00B80CCB"/>
    <w:rsid w:val="00B8394E"/>
    <w:rsid w:val="00B83CE1"/>
    <w:rsid w:val="00B85293"/>
    <w:rsid w:val="00B865AA"/>
    <w:rsid w:val="00B86666"/>
    <w:rsid w:val="00B86722"/>
    <w:rsid w:val="00B869DE"/>
    <w:rsid w:val="00B87462"/>
    <w:rsid w:val="00B9102F"/>
    <w:rsid w:val="00B915D2"/>
    <w:rsid w:val="00B9342F"/>
    <w:rsid w:val="00B971E4"/>
    <w:rsid w:val="00B97B85"/>
    <w:rsid w:val="00BA1F92"/>
    <w:rsid w:val="00BA2146"/>
    <w:rsid w:val="00BA34AC"/>
    <w:rsid w:val="00BA65A5"/>
    <w:rsid w:val="00BA69C8"/>
    <w:rsid w:val="00BA7461"/>
    <w:rsid w:val="00BB4D10"/>
    <w:rsid w:val="00BB58CB"/>
    <w:rsid w:val="00BB6D4E"/>
    <w:rsid w:val="00BB74EA"/>
    <w:rsid w:val="00BB7BE8"/>
    <w:rsid w:val="00BC24A2"/>
    <w:rsid w:val="00BC2BA9"/>
    <w:rsid w:val="00BC2F64"/>
    <w:rsid w:val="00BC3D52"/>
    <w:rsid w:val="00BC4BB4"/>
    <w:rsid w:val="00BC56CA"/>
    <w:rsid w:val="00BD36D9"/>
    <w:rsid w:val="00BD5E9E"/>
    <w:rsid w:val="00BD70B3"/>
    <w:rsid w:val="00BE0915"/>
    <w:rsid w:val="00BE0BBB"/>
    <w:rsid w:val="00BE1BE3"/>
    <w:rsid w:val="00BE1E4D"/>
    <w:rsid w:val="00BE2F0A"/>
    <w:rsid w:val="00BE30A7"/>
    <w:rsid w:val="00BE4B11"/>
    <w:rsid w:val="00BE531C"/>
    <w:rsid w:val="00BE5956"/>
    <w:rsid w:val="00BF1BE5"/>
    <w:rsid w:val="00BF4723"/>
    <w:rsid w:val="00C02059"/>
    <w:rsid w:val="00C057AF"/>
    <w:rsid w:val="00C07743"/>
    <w:rsid w:val="00C219E1"/>
    <w:rsid w:val="00C22D83"/>
    <w:rsid w:val="00C240F1"/>
    <w:rsid w:val="00C261FA"/>
    <w:rsid w:val="00C26A85"/>
    <w:rsid w:val="00C271CE"/>
    <w:rsid w:val="00C30814"/>
    <w:rsid w:val="00C30825"/>
    <w:rsid w:val="00C31CC6"/>
    <w:rsid w:val="00C32B97"/>
    <w:rsid w:val="00C400AE"/>
    <w:rsid w:val="00C41FF3"/>
    <w:rsid w:val="00C44EDC"/>
    <w:rsid w:val="00C46E9C"/>
    <w:rsid w:val="00C50B40"/>
    <w:rsid w:val="00C516E2"/>
    <w:rsid w:val="00C55621"/>
    <w:rsid w:val="00C579AB"/>
    <w:rsid w:val="00C57EF5"/>
    <w:rsid w:val="00C608D4"/>
    <w:rsid w:val="00C609F2"/>
    <w:rsid w:val="00C627F9"/>
    <w:rsid w:val="00C63BC2"/>
    <w:rsid w:val="00C63CDC"/>
    <w:rsid w:val="00C63D81"/>
    <w:rsid w:val="00C63F22"/>
    <w:rsid w:val="00C645AE"/>
    <w:rsid w:val="00C65934"/>
    <w:rsid w:val="00C6695A"/>
    <w:rsid w:val="00C67873"/>
    <w:rsid w:val="00C67EE5"/>
    <w:rsid w:val="00C721E7"/>
    <w:rsid w:val="00C73B47"/>
    <w:rsid w:val="00C73F2E"/>
    <w:rsid w:val="00C747B5"/>
    <w:rsid w:val="00C81DFF"/>
    <w:rsid w:val="00C82159"/>
    <w:rsid w:val="00C85073"/>
    <w:rsid w:val="00C85B83"/>
    <w:rsid w:val="00C90866"/>
    <w:rsid w:val="00C90A4D"/>
    <w:rsid w:val="00C90CA6"/>
    <w:rsid w:val="00C910EA"/>
    <w:rsid w:val="00C913BF"/>
    <w:rsid w:val="00C91A7B"/>
    <w:rsid w:val="00C91E61"/>
    <w:rsid w:val="00C92405"/>
    <w:rsid w:val="00C92C8F"/>
    <w:rsid w:val="00C94E36"/>
    <w:rsid w:val="00C9613C"/>
    <w:rsid w:val="00CA1612"/>
    <w:rsid w:val="00CA19D6"/>
    <w:rsid w:val="00CA2AC2"/>
    <w:rsid w:val="00CA2DC6"/>
    <w:rsid w:val="00CA50AE"/>
    <w:rsid w:val="00CA50DB"/>
    <w:rsid w:val="00CB153D"/>
    <w:rsid w:val="00CB28B6"/>
    <w:rsid w:val="00CB2F96"/>
    <w:rsid w:val="00CB5C6D"/>
    <w:rsid w:val="00CC07C7"/>
    <w:rsid w:val="00CC340F"/>
    <w:rsid w:val="00CC4EE8"/>
    <w:rsid w:val="00CC5457"/>
    <w:rsid w:val="00CC6DD0"/>
    <w:rsid w:val="00CD3301"/>
    <w:rsid w:val="00CD40F2"/>
    <w:rsid w:val="00CD60F0"/>
    <w:rsid w:val="00CE015B"/>
    <w:rsid w:val="00CE0263"/>
    <w:rsid w:val="00CE1214"/>
    <w:rsid w:val="00CE47DD"/>
    <w:rsid w:val="00CE6768"/>
    <w:rsid w:val="00CE72DB"/>
    <w:rsid w:val="00CF060C"/>
    <w:rsid w:val="00CF3815"/>
    <w:rsid w:val="00CF3821"/>
    <w:rsid w:val="00CF3A67"/>
    <w:rsid w:val="00CF41E2"/>
    <w:rsid w:val="00CF5A2E"/>
    <w:rsid w:val="00CF6A80"/>
    <w:rsid w:val="00CF6EE0"/>
    <w:rsid w:val="00D00B4D"/>
    <w:rsid w:val="00D00EEC"/>
    <w:rsid w:val="00D02D83"/>
    <w:rsid w:val="00D044AD"/>
    <w:rsid w:val="00D04BE4"/>
    <w:rsid w:val="00D06380"/>
    <w:rsid w:val="00D105EB"/>
    <w:rsid w:val="00D11169"/>
    <w:rsid w:val="00D13434"/>
    <w:rsid w:val="00D15818"/>
    <w:rsid w:val="00D21DB2"/>
    <w:rsid w:val="00D22DEC"/>
    <w:rsid w:val="00D2466B"/>
    <w:rsid w:val="00D24807"/>
    <w:rsid w:val="00D27999"/>
    <w:rsid w:val="00D32F65"/>
    <w:rsid w:val="00D331D0"/>
    <w:rsid w:val="00D3367A"/>
    <w:rsid w:val="00D3558B"/>
    <w:rsid w:val="00D358B8"/>
    <w:rsid w:val="00D36220"/>
    <w:rsid w:val="00D40A79"/>
    <w:rsid w:val="00D4352E"/>
    <w:rsid w:val="00D45402"/>
    <w:rsid w:val="00D456C1"/>
    <w:rsid w:val="00D4610F"/>
    <w:rsid w:val="00D4721C"/>
    <w:rsid w:val="00D50BBD"/>
    <w:rsid w:val="00D51A05"/>
    <w:rsid w:val="00D528C8"/>
    <w:rsid w:val="00D52C00"/>
    <w:rsid w:val="00D55498"/>
    <w:rsid w:val="00D579C7"/>
    <w:rsid w:val="00D627AD"/>
    <w:rsid w:val="00D66C1C"/>
    <w:rsid w:val="00D70582"/>
    <w:rsid w:val="00D71E29"/>
    <w:rsid w:val="00D741F0"/>
    <w:rsid w:val="00D82983"/>
    <w:rsid w:val="00D82F4F"/>
    <w:rsid w:val="00D85E88"/>
    <w:rsid w:val="00D91070"/>
    <w:rsid w:val="00D91740"/>
    <w:rsid w:val="00D93B9A"/>
    <w:rsid w:val="00D9430B"/>
    <w:rsid w:val="00D947C4"/>
    <w:rsid w:val="00D95F20"/>
    <w:rsid w:val="00DA11C1"/>
    <w:rsid w:val="00DA1A72"/>
    <w:rsid w:val="00DA264E"/>
    <w:rsid w:val="00DA579E"/>
    <w:rsid w:val="00DA5C4F"/>
    <w:rsid w:val="00DA686E"/>
    <w:rsid w:val="00DA7B15"/>
    <w:rsid w:val="00DB4359"/>
    <w:rsid w:val="00DB4408"/>
    <w:rsid w:val="00DB49C3"/>
    <w:rsid w:val="00DB7391"/>
    <w:rsid w:val="00DC13BC"/>
    <w:rsid w:val="00DC14F2"/>
    <w:rsid w:val="00DC1DB1"/>
    <w:rsid w:val="00DC210E"/>
    <w:rsid w:val="00DC421F"/>
    <w:rsid w:val="00DC724E"/>
    <w:rsid w:val="00DC7AE8"/>
    <w:rsid w:val="00DD2100"/>
    <w:rsid w:val="00DD58AD"/>
    <w:rsid w:val="00DD5EA5"/>
    <w:rsid w:val="00DD68A7"/>
    <w:rsid w:val="00DE0186"/>
    <w:rsid w:val="00DE09CB"/>
    <w:rsid w:val="00DE157F"/>
    <w:rsid w:val="00DF2CF8"/>
    <w:rsid w:val="00DF2D4A"/>
    <w:rsid w:val="00DF53DE"/>
    <w:rsid w:val="00DF76AB"/>
    <w:rsid w:val="00E015D3"/>
    <w:rsid w:val="00E061CD"/>
    <w:rsid w:val="00E07DF5"/>
    <w:rsid w:val="00E10E02"/>
    <w:rsid w:val="00E11814"/>
    <w:rsid w:val="00E11E22"/>
    <w:rsid w:val="00E12626"/>
    <w:rsid w:val="00E135CF"/>
    <w:rsid w:val="00E13C45"/>
    <w:rsid w:val="00E14EDF"/>
    <w:rsid w:val="00E163B3"/>
    <w:rsid w:val="00E17563"/>
    <w:rsid w:val="00E20147"/>
    <w:rsid w:val="00E20B4C"/>
    <w:rsid w:val="00E2142F"/>
    <w:rsid w:val="00E22935"/>
    <w:rsid w:val="00E2392A"/>
    <w:rsid w:val="00E253C4"/>
    <w:rsid w:val="00E257B6"/>
    <w:rsid w:val="00E26AF2"/>
    <w:rsid w:val="00E31C04"/>
    <w:rsid w:val="00E33B25"/>
    <w:rsid w:val="00E350C8"/>
    <w:rsid w:val="00E42332"/>
    <w:rsid w:val="00E42B0A"/>
    <w:rsid w:val="00E45013"/>
    <w:rsid w:val="00E457CE"/>
    <w:rsid w:val="00E46F7C"/>
    <w:rsid w:val="00E47518"/>
    <w:rsid w:val="00E5135B"/>
    <w:rsid w:val="00E53516"/>
    <w:rsid w:val="00E55F88"/>
    <w:rsid w:val="00E561F0"/>
    <w:rsid w:val="00E5695F"/>
    <w:rsid w:val="00E56CF0"/>
    <w:rsid w:val="00E575C6"/>
    <w:rsid w:val="00E62855"/>
    <w:rsid w:val="00E63E58"/>
    <w:rsid w:val="00E64B05"/>
    <w:rsid w:val="00E71EC3"/>
    <w:rsid w:val="00E76B68"/>
    <w:rsid w:val="00E8069C"/>
    <w:rsid w:val="00E810E8"/>
    <w:rsid w:val="00E82670"/>
    <w:rsid w:val="00E851D3"/>
    <w:rsid w:val="00E87B66"/>
    <w:rsid w:val="00E87D88"/>
    <w:rsid w:val="00E92E5B"/>
    <w:rsid w:val="00E93779"/>
    <w:rsid w:val="00E979A0"/>
    <w:rsid w:val="00EA33F0"/>
    <w:rsid w:val="00EA4DF6"/>
    <w:rsid w:val="00EA6BD9"/>
    <w:rsid w:val="00EA6BE9"/>
    <w:rsid w:val="00EB2716"/>
    <w:rsid w:val="00EB4AF8"/>
    <w:rsid w:val="00EB6797"/>
    <w:rsid w:val="00EB6B22"/>
    <w:rsid w:val="00EB7FF7"/>
    <w:rsid w:val="00EC0996"/>
    <w:rsid w:val="00EC1F03"/>
    <w:rsid w:val="00EC31D7"/>
    <w:rsid w:val="00EC6CEF"/>
    <w:rsid w:val="00EC7B0F"/>
    <w:rsid w:val="00ED3534"/>
    <w:rsid w:val="00ED3C08"/>
    <w:rsid w:val="00ED3CFB"/>
    <w:rsid w:val="00ED4AC2"/>
    <w:rsid w:val="00ED6CE2"/>
    <w:rsid w:val="00ED741D"/>
    <w:rsid w:val="00EE1B90"/>
    <w:rsid w:val="00EE2D91"/>
    <w:rsid w:val="00EE3A86"/>
    <w:rsid w:val="00EF0529"/>
    <w:rsid w:val="00EF2B2C"/>
    <w:rsid w:val="00EF3339"/>
    <w:rsid w:val="00EF646B"/>
    <w:rsid w:val="00F003CD"/>
    <w:rsid w:val="00F05A3B"/>
    <w:rsid w:val="00F071A1"/>
    <w:rsid w:val="00F07748"/>
    <w:rsid w:val="00F134BD"/>
    <w:rsid w:val="00F13C51"/>
    <w:rsid w:val="00F15FD4"/>
    <w:rsid w:val="00F208EB"/>
    <w:rsid w:val="00F224AF"/>
    <w:rsid w:val="00F23AA7"/>
    <w:rsid w:val="00F24904"/>
    <w:rsid w:val="00F2595B"/>
    <w:rsid w:val="00F3036B"/>
    <w:rsid w:val="00F31716"/>
    <w:rsid w:val="00F32347"/>
    <w:rsid w:val="00F326CC"/>
    <w:rsid w:val="00F37001"/>
    <w:rsid w:val="00F37B78"/>
    <w:rsid w:val="00F428C6"/>
    <w:rsid w:val="00F42EEE"/>
    <w:rsid w:val="00F44D21"/>
    <w:rsid w:val="00F526F4"/>
    <w:rsid w:val="00F546A1"/>
    <w:rsid w:val="00F60F55"/>
    <w:rsid w:val="00F62301"/>
    <w:rsid w:val="00F62CEA"/>
    <w:rsid w:val="00F645B2"/>
    <w:rsid w:val="00F679BF"/>
    <w:rsid w:val="00F71662"/>
    <w:rsid w:val="00F723E1"/>
    <w:rsid w:val="00F72899"/>
    <w:rsid w:val="00F7478F"/>
    <w:rsid w:val="00F75692"/>
    <w:rsid w:val="00F76A63"/>
    <w:rsid w:val="00F802D0"/>
    <w:rsid w:val="00F81FE0"/>
    <w:rsid w:val="00F9058F"/>
    <w:rsid w:val="00F93F9E"/>
    <w:rsid w:val="00F948B1"/>
    <w:rsid w:val="00F9552D"/>
    <w:rsid w:val="00FA1417"/>
    <w:rsid w:val="00FB0CE3"/>
    <w:rsid w:val="00FB2CF1"/>
    <w:rsid w:val="00FB4328"/>
    <w:rsid w:val="00FB4491"/>
    <w:rsid w:val="00FB64DD"/>
    <w:rsid w:val="00FB70C0"/>
    <w:rsid w:val="00FC0A17"/>
    <w:rsid w:val="00FC203E"/>
    <w:rsid w:val="00FC329F"/>
    <w:rsid w:val="00FC58EC"/>
    <w:rsid w:val="00FC692F"/>
    <w:rsid w:val="00FD2100"/>
    <w:rsid w:val="00FD3D8A"/>
    <w:rsid w:val="00FD48F3"/>
    <w:rsid w:val="00FD6C77"/>
    <w:rsid w:val="00FD6DDF"/>
    <w:rsid w:val="00FE192D"/>
    <w:rsid w:val="00FE219B"/>
    <w:rsid w:val="00FE607E"/>
    <w:rsid w:val="00FF1338"/>
    <w:rsid w:val="00FF1D11"/>
    <w:rsid w:val="00FF37D1"/>
    <w:rsid w:val="00FF727D"/>
    <w:rsid w:val="0207688B"/>
    <w:rsid w:val="06212398"/>
    <w:rsid w:val="066E4797"/>
    <w:rsid w:val="072B5A7A"/>
    <w:rsid w:val="075D262D"/>
    <w:rsid w:val="080D0C97"/>
    <w:rsid w:val="0A4F0C54"/>
    <w:rsid w:val="0A8E7519"/>
    <w:rsid w:val="0AC90DD1"/>
    <w:rsid w:val="0B8E620A"/>
    <w:rsid w:val="0C6B7241"/>
    <w:rsid w:val="0CEC14E6"/>
    <w:rsid w:val="0D682B26"/>
    <w:rsid w:val="0D8F579F"/>
    <w:rsid w:val="0D9A74F5"/>
    <w:rsid w:val="0E330B03"/>
    <w:rsid w:val="0E56593C"/>
    <w:rsid w:val="0F5C2AAE"/>
    <w:rsid w:val="106C2235"/>
    <w:rsid w:val="129A673D"/>
    <w:rsid w:val="135157E2"/>
    <w:rsid w:val="14F93402"/>
    <w:rsid w:val="154F2FF0"/>
    <w:rsid w:val="15C9287A"/>
    <w:rsid w:val="1631399A"/>
    <w:rsid w:val="163569D1"/>
    <w:rsid w:val="167C2AFC"/>
    <w:rsid w:val="16833224"/>
    <w:rsid w:val="169A7179"/>
    <w:rsid w:val="175B3E79"/>
    <w:rsid w:val="1A7B552B"/>
    <w:rsid w:val="1AD646A9"/>
    <w:rsid w:val="1E02251E"/>
    <w:rsid w:val="204478FF"/>
    <w:rsid w:val="20F83EDC"/>
    <w:rsid w:val="21A56F1D"/>
    <w:rsid w:val="21AB4555"/>
    <w:rsid w:val="221F567A"/>
    <w:rsid w:val="223F78BB"/>
    <w:rsid w:val="22C94D47"/>
    <w:rsid w:val="230039BF"/>
    <w:rsid w:val="242C689E"/>
    <w:rsid w:val="24D05F7A"/>
    <w:rsid w:val="256778C2"/>
    <w:rsid w:val="27E4423D"/>
    <w:rsid w:val="29174689"/>
    <w:rsid w:val="2B530A55"/>
    <w:rsid w:val="2C594ACA"/>
    <w:rsid w:val="2D7A2578"/>
    <w:rsid w:val="2DB178C4"/>
    <w:rsid w:val="2E892C97"/>
    <w:rsid w:val="372B27A6"/>
    <w:rsid w:val="379E65CE"/>
    <w:rsid w:val="37D9487D"/>
    <w:rsid w:val="38085539"/>
    <w:rsid w:val="39883148"/>
    <w:rsid w:val="3BC46EA6"/>
    <w:rsid w:val="3BDB1C63"/>
    <w:rsid w:val="3C060B76"/>
    <w:rsid w:val="3D3F2028"/>
    <w:rsid w:val="3D752948"/>
    <w:rsid w:val="3E837249"/>
    <w:rsid w:val="3F351D8A"/>
    <w:rsid w:val="3F77203E"/>
    <w:rsid w:val="42167865"/>
    <w:rsid w:val="458C3289"/>
    <w:rsid w:val="45B44644"/>
    <w:rsid w:val="4630416E"/>
    <w:rsid w:val="46C15F75"/>
    <w:rsid w:val="47A425B5"/>
    <w:rsid w:val="48CB1025"/>
    <w:rsid w:val="494B26C1"/>
    <w:rsid w:val="49F73C27"/>
    <w:rsid w:val="4A735FDD"/>
    <w:rsid w:val="4B3352BE"/>
    <w:rsid w:val="4B95680A"/>
    <w:rsid w:val="4F8A3063"/>
    <w:rsid w:val="51CC7202"/>
    <w:rsid w:val="554343D3"/>
    <w:rsid w:val="55895AC5"/>
    <w:rsid w:val="566A254D"/>
    <w:rsid w:val="56753D47"/>
    <w:rsid w:val="5798231A"/>
    <w:rsid w:val="58522B10"/>
    <w:rsid w:val="59F85D0A"/>
    <w:rsid w:val="5A013BCF"/>
    <w:rsid w:val="5A842798"/>
    <w:rsid w:val="5BA26EEC"/>
    <w:rsid w:val="5D7C4595"/>
    <w:rsid w:val="5FF07B83"/>
    <w:rsid w:val="5FFC2538"/>
    <w:rsid w:val="60C7285B"/>
    <w:rsid w:val="619B3B2C"/>
    <w:rsid w:val="633F7B5F"/>
    <w:rsid w:val="65092CAD"/>
    <w:rsid w:val="67AF69DC"/>
    <w:rsid w:val="68767DA1"/>
    <w:rsid w:val="69C1184C"/>
    <w:rsid w:val="6D0227DD"/>
    <w:rsid w:val="6DF559E1"/>
    <w:rsid w:val="6E080778"/>
    <w:rsid w:val="6E6C4C90"/>
    <w:rsid w:val="6EAD160C"/>
    <w:rsid w:val="6FB24970"/>
    <w:rsid w:val="704A3D8C"/>
    <w:rsid w:val="709C0EEE"/>
    <w:rsid w:val="726F1123"/>
    <w:rsid w:val="731B67AD"/>
    <w:rsid w:val="74392DE5"/>
    <w:rsid w:val="74B86401"/>
    <w:rsid w:val="752370E7"/>
    <w:rsid w:val="76EF2D09"/>
    <w:rsid w:val="7869062C"/>
    <w:rsid w:val="78714515"/>
    <w:rsid w:val="7B432FF9"/>
    <w:rsid w:val="7D312019"/>
    <w:rsid w:val="7D6262B0"/>
    <w:rsid w:val="7DA24773"/>
    <w:rsid w:val="7E193914"/>
    <w:rsid w:val="7FB026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Times New Roman" w:hAnsi="Times New Roman" w:cs="Times New Roman" w:eastAsiaTheme="minorEastAsia"/>
      <w:sz w:val="24"/>
      <w:szCs w:val="24"/>
      <w:lang w:val="en-US" w:eastAsia="zh-CN" w:bidi="ar-SA"/>
    </w:rPr>
  </w:style>
  <w:style w:type="paragraph" w:styleId="3">
    <w:name w:val="heading 1"/>
    <w:basedOn w:val="1"/>
    <w:next w:val="1"/>
    <w:link w:val="56"/>
    <w:qFormat/>
    <w:uiPriority w:val="0"/>
    <w:pPr>
      <w:snapToGrid w:val="0"/>
      <w:spacing w:before="240" w:after="240" w:line="360" w:lineRule="auto"/>
      <w:jc w:val="center"/>
      <w:outlineLvl w:val="0"/>
    </w:pPr>
    <w:rPr>
      <w:rFonts w:ascii="黑体" w:eastAsia="黑体" w:cs="Adobe ｺﾚﾌ・Std R"/>
      <w:b/>
      <w:sz w:val="44"/>
      <w:szCs w:val="44"/>
    </w:rPr>
  </w:style>
  <w:style w:type="paragraph" w:styleId="4">
    <w:name w:val="heading 2"/>
    <w:basedOn w:val="1"/>
    <w:next w:val="1"/>
    <w:link w:val="57"/>
    <w:qFormat/>
    <w:uiPriority w:val="0"/>
    <w:pPr>
      <w:topLinePunct/>
      <w:autoSpaceDE/>
      <w:autoSpaceDN/>
      <w:snapToGrid w:val="0"/>
      <w:spacing w:line="360" w:lineRule="auto"/>
      <w:jc w:val="both"/>
      <w:outlineLvl w:val="1"/>
    </w:pPr>
    <w:rPr>
      <w:rFonts w:ascii="Arial" w:hAnsi="Arial" w:eastAsia="宋体" w:cs="Adobe ｺﾚﾌ・Std R"/>
      <w:b/>
      <w:sz w:val="28"/>
      <w:szCs w:val="32"/>
    </w:rPr>
  </w:style>
  <w:style w:type="paragraph" w:styleId="5">
    <w:name w:val="heading 3"/>
    <w:basedOn w:val="1"/>
    <w:next w:val="1"/>
    <w:link w:val="58"/>
    <w:qFormat/>
    <w:uiPriority w:val="0"/>
    <w:pPr>
      <w:topLinePunct/>
      <w:autoSpaceDE/>
      <w:autoSpaceDN/>
      <w:snapToGrid w:val="0"/>
      <w:spacing w:line="360" w:lineRule="auto"/>
      <w:ind w:firstLine="200" w:firstLineChars="200"/>
      <w:jc w:val="both"/>
      <w:outlineLvl w:val="2"/>
    </w:pPr>
    <w:rPr>
      <w:rFonts w:ascii="Arial" w:hAnsi="Arial" w:eastAsia="宋体" w:cs="Adobe ｺﾚﾌ・Std R"/>
      <w:b/>
      <w:szCs w:val="28"/>
    </w:rPr>
  </w:style>
  <w:style w:type="paragraph" w:styleId="6">
    <w:name w:val="heading 4"/>
    <w:basedOn w:val="1"/>
    <w:next w:val="1"/>
    <w:link w:val="59"/>
    <w:qFormat/>
    <w:uiPriority w:val="0"/>
    <w:pPr>
      <w:keepNext/>
      <w:keepLines/>
      <w:autoSpaceDE/>
      <w:autoSpaceDN/>
      <w:adjustRightInd/>
      <w:spacing w:before="280" w:after="290" w:line="372" w:lineRule="auto"/>
      <w:jc w:val="both"/>
      <w:outlineLvl w:val="3"/>
    </w:pPr>
    <w:rPr>
      <w:rFonts w:ascii="Cambria" w:hAnsi="Cambria" w:eastAsia="宋体"/>
      <w:b/>
      <w:bCs/>
      <w:kern w:val="2"/>
      <w:sz w:val="28"/>
      <w:szCs w:val="28"/>
    </w:rPr>
  </w:style>
  <w:style w:type="paragraph" w:styleId="7">
    <w:name w:val="heading 5"/>
    <w:basedOn w:val="1"/>
    <w:next w:val="1"/>
    <w:link w:val="60"/>
    <w:qFormat/>
    <w:uiPriority w:val="0"/>
    <w:pPr>
      <w:keepNext/>
      <w:keepLines/>
      <w:autoSpaceDE/>
      <w:autoSpaceDN/>
      <w:adjustRightInd/>
      <w:spacing w:before="280" w:after="290" w:line="372" w:lineRule="auto"/>
      <w:jc w:val="both"/>
      <w:outlineLvl w:val="4"/>
    </w:pPr>
    <w:rPr>
      <w:rFonts w:ascii="Calibri" w:hAnsi="Calibri" w:eastAsia="宋体"/>
      <w:b/>
      <w:bCs/>
      <w:kern w:val="2"/>
      <w:sz w:val="28"/>
      <w:szCs w:val="28"/>
    </w:rPr>
  </w:style>
  <w:style w:type="paragraph" w:styleId="8">
    <w:name w:val="heading 6"/>
    <w:basedOn w:val="1"/>
    <w:next w:val="1"/>
    <w:link w:val="61"/>
    <w:qFormat/>
    <w:uiPriority w:val="0"/>
    <w:pPr>
      <w:keepNext/>
      <w:keepLines/>
      <w:autoSpaceDE/>
      <w:autoSpaceDN/>
      <w:adjustRightInd/>
      <w:spacing w:before="240" w:after="64" w:line="317" w:lineRule="auto"/>
      <w:jc w:val="both"/>
      <w:outlineLvl w:val="5"/>
    </w:pPr>
    <w:rPr>
      <w:rFonts w:ascii="Cambria" w:hAnsi="Cambria" w:eastAsia="宋体"/>
      <w:b/>
      <w:bCs/>
      <w:kern w:val="2"/>
    </w:rPr>
  </w:style>
  <w:style w:type="paragraph" w:styleId="9">
    <w:name w:val="heading 7"/>
    <w:basedOn w:val="1"/>
    <w:next w:val="1"/>
    <w:link w:val="62"/>
    <w:qFormat/>
    <w:uiPriority w:val="0"/>
    <w:pPr>
      <w:keepNext/>
      <w:keepLines/>
      <w:autoSpaceDE/>
      <w:autoSpaceDN/>
      <w:adjustRightInd/>
      <w:spacing w:before="240" w:after="64" w:line="317" w:lineRule="auto"/>
      <w:jc w:val="both"/>
      <w:outlineLvl w:val="6"/>
    </w:pPr>
    <w:rPr>
      <w:rFonts w:ascii="Calibri" w:hAnsi="Calibri" w:eastAsia="宋体"/>
      <w:b/>
      <w:bCs/>
      <w:kern w:val="2"/>
    </w:rPr>
  </w:style>
  <w:style w:type="paragraph" w:styleId="10">
    <w:name w:val="heading 8"/>
    <w:basedOn w:val="1"/>
    <w:next w:val="1"/>
    <w:link w:val="63"/>
    <w:qFormat/>
    <w:uiPriority w:val="0"/>
    <w:pPr>
      <w:keepNext/>
      <w:keepLines/>
      <w:autoSpaceDE/>
      <w:autoSpaceDN/>
      <w:adjustRightInd/>
      <w:spacing w:before="240" w:after="64" w:line="317" w:lineRule="auto"/>
      <w:jc w:val="both"/>
      <w:outlineLvl w:val="7"/>
    </w:pPr>
    <w:rPr>
      <w:rFonts w:ascii="Cambria" w:hAnsi="Cambria" w:eastAsia="宋体"/>
      <w:kern w:val="2"/>
    </w:rPr>
  </w:style>
  <w:style w:type="paragraph" w:styleId="11">
    <w:name w:val="heading 9"/>
    <w:basedOn w:val="1"/>
    <w:next w:val="1"/>
    <w:link w:val="64"/>
    <w:qFormat/>
    <w:uiPriority w:val="0"/>
    <w:pPr>
      <w:keepNext/>
      <w:keepLines/>
      <w:autoSpaceDE/>
      <w:autoSpaceDN/>
      <w:adjustRightInd/>
      <w:spacing w:before="240" w:after="64" w:line="317" w:lineRule="auto"/>
      <w:jc w:val="both"/>
      <w:outlineLvl w:val="8"/>
    </w:pPr>
    <w:rPr>
      <w:rFonts w:ascii="Cambria" w:hAnsi="Cambria" w:eastAsia="宋体"/>
      <w:kern w:val="2"/>
      <w:sz w:val="21"/>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5"/>
    <w:qFormat/>
    <w:uiPriority w:val="0"/>
    <w:pPr>
      <w:ind w:left="520"/>
    </w:pPr>
    <w:rPr>
      <w:rFonts w:ascii="Adobe ｺﾚﾌ・Std R" w:eastAsia="Adobe ｺﾚﾌ・Std R" w:cs="Adobe ｺﾚﾌ・Std R"/>
      <w:sz w:val="21"/>
      <w:szCs w:val="21"/>
    </w:rPr>
  </w:style>
  <w:style w:type="paragraph" w:styleId="12">
    <w:name w:val="List 3"/>
    <w:basedOn w:val="1"/>
    <w:unhideWhenUsed/>
    <w:qFormat/>
    <w:uiPriority w:val="99"/>
    <w:pPr>
      <w:autoSpaceDE/>
      <w:autoSpaceDN/>
      <w:adjustRightInd/>
      <w:spacing w:before="260" w:after="260"/>
      <w:ind w:left="100" w:leftChars="400" w:hanging="200" w:hangingChars="200"/>
      <w:contextualSpacing/>
      <w:jc w:val="both"/>
    </w:pPr>
    <w:rPr>
      <w:rFonts w:eastAsia="宋体"/>
      <w:kern w:val="2"/>
      <w:sz w:val="21"/>
      <w:szCs w:val="20"/>
    </w:rPr>
  </w:style>
  <w:style w:type="paragraph" w:styleId="13">
    <w:name w:val="toc 7"/>
    <w:basedOn w:val="1"/>
    <w:next w:val="1"/>
    <w:unhideWhenUsed/>
    <w:qFormat/>
    <w:uiPriority w:val="39"/>
    <w:pPr>
      <w:autoSpaceDE/>
      <w:autoSpaceDN/>
      <w:adjustRightInd/>
      <w:ind w:left="2520" w:leftChars="1200"/>
      <w:jc w:val="both"/>
    </w:pPr>
    <w:rPr>
      <w:rFonts w:asciiTheme="minorHAnsi" w:hAnsiTheme="minorHAnsi" w:cstheme="minorBidi"/>
      <w:kern w:val="2"/>
      <w:sz w:val="21"/>
      <w:szCs w:val="22"/>
    </w:rPr>
  </w:style>
  <w:style w:type="paragraph" w:styleId="14">
    <w:name w:val="Normal Indent"/>
    <w:basedOn w:val="1"/>
    <w:qFormat/>
    <w:uiPriority w:val="0"/>
    <w:pPr>
      <w:autoSpaceDE/>
      <w:autoSpaceDN/>
      <w:adjustRightInd/>
      <w:spacing w:before="260" w:after="260"/>
      <w:ind w:firstLine="420"/>
      <w:jc w:val="both"/>
    </w:pPr>
    <w:rPr>
      <w:rFonts w:eastAsia="宋体"/>
      <w:kern w:val="2"/>
      <w:sz w:val="21"/>
      <w:szCs w:val="20"/>
    </w:rPr>
  </w:style>
  <w:style w:type="paragraph" w:styleId="15">
    <w:name w:val="caption"/>
    <w:basedOn w:val="1"/>
    <w:next w:val="1"/>
    <w:qFormat/>
    <w:uiPriority w:val="0"/>
    <w:pPr>
      <w:autoSpaceDE/>
      <w:autoSpaceDN/>
      <w:adjustRightInd/>
      <w:spacing w:before="260" w:after="260" w:line="480" w:lineRule="auto"/>
      <w:jc w:val="both"/>
    </w:pPr>
    <w:rPr>
      <w:rFonts w:ascii="华文中宋" w:hAnsi="华文中宋" w:eastAsia="华文中宋"/>
      <w:kern w:val="2"/>
      <w:sz w:val="36"/>
      <w:szCs w:val="20"/>
    </w:rPr>
  </w:style>
  <w:style w:type="paragraph" w:styleId="16">
    <w:name w:val="Document Map"/>
    <w:basedOn w:val="1"/>
    <w:link w:val="81"/>
    <w:qFormat/>
    <w:uiPriority w:val="0"/>
    <w:pPr>
      <w:shd w:val="clear" w:color="auto" w:fill="000080"/>
      <w:autoSpaceDE/>
      <w:autoSpaceDN/>
      <w:adjustRightInd/>
      <w:jc w:val="both"/>
    </w:pPr>
    <w:rPr>
      <w:kern w:val="2"/>
      <w:sz w:val="21"/>
      <w:shd w:val="clear" w:color="auto" w:fill="000080"/>
    </w:rPr>
  </w:style>
  <w:style w:type="paragraph" w:styleId="17">
    <w:name w:val="annotation text"/>
    <w:basedOn w:val="1"/>
    <w:link w:val="71"/>
    <w:qFormat/>
    <w:uiPriority w:val="0"/>
    <w:pPr>
      <w:autoSpaceDE/>
      <w:autoSpaceDN/>
      <w:adjustRightInd/>
      <w:spacing w:line="312" w:lineRule="auto"/>
    </w:pPr>
    <w:rPr>
      <w:rFonts w:ascii="Arial" w:hAnsi="Arial" w:eastAsia="宋体"/>
      <w:kern w:val="2"/>
      <w:sz w:val="21"/>
    </w:rPr>
  </w:style>
  <w:style w:type="paragraph" w:styleId="18">
    <w:name w:val="Body Text 3"/>
    <w:basedOn w:val="1"/>
    <w:link w:val="125"/>
    <w:qFormat/>
    <w:uiPriority w:val="0"/>
    <w:pPr>
      <w:autoSpaceDE/>
      <w:autoSpaceDN/>
      <w:adjustRightInd/>
      <w:spacing w:before="260" w:after="120" w:line="360" w:lineRule="auto"/>
      <w:jc w:val="both"/>
    </w:pPr>
    <w:rPr>
      <w:rFonts w:asciiTheme="minorHAnsi" w:hAnsiTheme="minorHAnsi"/>
      <w:kern w:val="2"/>
      <w:sz w:val="16"/>
      <w:szCs w:val="16"/>
    </w:rPr>
  </w:style>
  <w:style w:type="paragraph" w:styleId="19">
    <w:name w:val="Body Text Indent"/>
    <w:basedOn w:val="1"/>
    <w:link w:val="104"/>
    <w:qFormat/>
    <w:uiPriority w:val="0"/>
    <w:pPr>
      <w:autoSpaceDE/>
      <w:autoSpaceDN/>
      <w:adjustRightInd/>
      <w:spacing w:before="260" w:after="260"/>
      <w:ind w:firstLine="444"/>
      <w:jc w:val="both"/>
    </w:pPr>
    <w:rPr>
      <w:rFonts w:eastAsia="宋体"/>
      <w:b/>
      <w:kern w:val="2"/>
      <w:szCs w:val="20"/>
    </w:rPr>
  </w:style>
  <w:style w:type="paragraph" w:styleId="20">
    <w:name w:val="List 2"/>
    <w:basedOn w:val="1"/>
    <w:unhideWhenUsed/>
    <w:qFormat/>
    <w:uiPriority w:val="99"/>
    <w:pPr>
      <w:autoSpaceDE/>
      <w:autoSpaceDN/>
      <w:adjustRightInd/>
      <w:spacing w:before="260" w:after="260"/>
      <w:ind w:left="100" w:leftChars="200" w:hanging="200" w:hangingChars="200"/>
      <w:contextualSpacing/>
      <w:jc w:val="both"/>
    </w:pPr>
    <w:rPr>
      <w:rFonts w:eastAsia="宋体"/>
      <w:kern w:val="2"/>
      <w:sz w:val="21"/>
      <w:szCs w:val="20"/>
    </w:rPr>
  </w:style>
  <w:style w:type="paragraph" w:styleId="21">
    <w:name w:val="List Continue"/>
    <w:basedOn w:val="1"/>
    <w:unhideWhenUsed/>
    <w:qFormat/>
    <w:uiPriority w:val="99"/>
    <w:pPr>
      <w:autoSpaceDE/>
      <w:autoSpaceDN/>
      <w:adjustRightInd/>
      <w:spacing w:before="260" w:after="120"/>
      <w:ind w:left="420" w:leftChars="200"/>
      <w:contextualSpacing/>
      <w:jc w:val="both"/>
    </w:pPr>
    <w:rPr>
      <w:rFonts w:eastAsia="宋体"/>
      <w:kern w:val="2"/>
      <w:sz w:val="21"/>
      <w:szCs w:val="20"/>
    </w:rPr>
  </w:style>
  <w:style w:type="paragraph" w:styleId="22">
    <w:name w:val="index 4"/>
    <w:basedOn w:val="1"/>
    <w:next w:val="1"/>
    <w:qFormat/>
    <w:uiPriority w:val="0"/>
    <w:pPr>
      <w:autoSpaceDE/>
      <w:autoSpaceDN/>
      <w:adjustRightInd/>
      <w:ind w:left="600" w:leftChars="600"/>
      <w:jc w:val="both"/>
    </w:pPr>
    <w:rPr>
      <w:rFonts w:eastAsia="宋体"/>
      <w:kern w:val="2"/>
      <w:sz w:val="21"/>
    </w:rPr>
  </w:style>
  <w:style w:type="paragraph" w:styleId="23">
    <w:name w:val="toc 5"/>
    <w:basedOn w:val="1"/>
    <w:next w:val="1"/>
    <w:unhideWhenUsed/>
    <w:qFormat/>
    <w:uiPriority w:val="39"/>
    <w:pPr>
      <w:autoSpaceDE/>
      <w:autoSpaceDN/>
      <w:adjustRightInd/>
      <w:ind w:left="1680" w:leftChars="800"/>
      <w:jc w:val="both"/>
    </w:pPr>
    <w:rPr>
      <w:rFonts w:asciiTheme="minorHAnsi" w:hAnsiTheme="minorHAnsi" w:cstheme="minorBidi"/>
      <w:kern w:val="2"/>
      <w:sz w:val="21"/>
      <w:szCs w:val="22"/>
    </w:rPr>
  </w:style>
  <w:style w:type="paragraph" w:styleId="24">
    <w:name w:val="toc 3"/>
    <w:basedOn w:val="1"/>
    <w:next w:val="1"/>
    <w:unhideWhenUsed/>
    <w:qFormat/>
    <w:uiPriority w:val="39"/>
    <w:pPr>
      <w:ind w:left="840" w:leftChars="400"/>
    </w:pPr>
  </w:style>
  <w:style w:type="paragraph" w:styleId="25">
    <w:name w:val="Plain Text"/>
    <w:basedOn w:val="1"/>
    <w:link w:val="92"/>
    <w:qFormat/>
    <w:uiPriority w:val="0"/>
    <w:pPr>
      <w:autoSpaceDE/>
      <w:autoSpaceDN/>
      <w:adjustRightInd/>
      <w:jc w:val="both"/>
    </w:pPr>
    <w:rPr>
      <w:rFonts w:ascii="宋体" w:hAnsi="Courier New" w:eastAsia="宋体" w:cs="Courier New"/>
      <w:kern w:val="2"/>
      <w:sz w:val="21"/>
      <w:szCs w:val="21"/>
    </w:rPr>
  </w:style>
  <w:style w:type="paragraph" w:styleId="26">
    <w:name w:val="toc 8"/>
    <w:basedOn w:val="1"/>
    <w:next w:val="1"/>
    <w:unhideWhenUsed/>
    <w:qFormat/>
    <w:uiPriority w:val="39"/>
    <w:pPr>
      <w:autoSpaceDE/>
      <w:autoSpaceDN/>
      <w:adjustRightInd/>
      <w:ind w:left="2940" w:leftChars="1400"/>
      <w:jc w:val="both"/>
    </w:pPr>
    <w:rPr>
      <w:rFonts w:asciiTheme="minorHAnsi" w:hAnsiTheme="minorHAnsi" w:cstheme="minorBidi"/>
      <w:kern w:val="2"/>
      <w:sz w:val="21"/>
      <w:szCs w:val="22"/>
    </w:rPr>
  </w:style>
  <w:style w:type="paragraph" w:styleId="27">
    <w:name w:val="Date"/>
    <w:basedOn w:val="1"/>
    <w:next w:val="1"/>
    <w:link w:val="78"/>
    <w:qFormat/>
    <w:uiPriority w:val="0"/>
    <w:pPr>
      <w:autoSpaceDE/>
      <w:autoSpaceDN/>
      <w:adjustRightInd/>
      <w:ind w:left="100" w:leftChars="2500"/>
      <w:jc w:val="both"/>
    </w:pPr>
    <w:rPr>
      <w:rFonts w:ascii="宋体"/>
      <w:kern w:val="2"/>
      <w:sz w:val="28"/>
      <w:szCs w:val="21"/>
    </w:rPr>
  </w:style>
  <w:style w:type="paragraph" w:styleId="28">
    <w:name w:val="Body Text Indent 2"/>
    <w:basedOn w:val="1"/>
    <w:link w:val="91"/>
    <w:qFormat/>
    <w:uiPriority w:val="0"/>
    <w:pPr>
      <w:autoSpaceDE/>
      <w:autoSpaceDN/>
      <w:adjustRightInd/>
      <w:spacing w:after="120" w:line="480" w:lineRule="auto"/>
      <w:ind w:left="420" w:leftChars="200"/>
      <w:jc w:val="both"/>
    </w:pPr>
    <w:rPr>
      <w:rFonts w:eastAsia="宋体"/>
      <w:kern w:val="2"/>
    </w:rPr>
  </w:style>
  <w:style w:type="paragraph" w:styleId="29">
    <w:name w:val="Balloon Text"/>
    <w:basedOn w:val="1"/>
    <w:link w:val="70"/>
    <w:unhideWhenUsed/>
    <w:qFormat/>
    <w:uiPriority w:val="0"/>
    <w:rPr>
      <w:sz w:val="18"/>
      <w:szCs w:val="18"/>
    </w:rPr>
  </w:style>
  <w:style w:type="paragraph" w:styleId="30">
    <w:name w:val="footer"/>
    <w:basedOn w:val="1"/>
    <w:link w:val="69"/>
    <w:unhideWhenUsed/>
    <w:qFormat/>
    <w:uiPriority w:val="99"/>
    <w:pPr>
      <w:tabs>
        <w:tab w:val="center" w:pos="4153"/>
        <w:tab w:val="right" w:pos="8306"/>
      </w:tabs>
      <w:snapToGrid w:val="0"/>
    </w:pPr>
    <w:rPr>
      <w:sz w:val="18"/>
      <w:szCs w:val="18"/>
    </w:rPr>
  </w:style>
  <w:style w:type="paragraph" w:styleId="31">
    <w:name w:val="header"/>
    <w:basedOn w:val="1"/>
    <w:link w:val="68"/>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tabs>
        <w:tab w:val="right" w:leader="dot" w:pos="8811"/>
      </w:tabs>
      <w:snapToGrid w:val="0"/>
      <w:spacing w:line="360" w:lineRule="auto"/>
      <w:jc w:val="both"/>
    </w:pPr>
    <w:rPr>
      <w:rFonts w:ascii="Arial" w:hAnsi="Arial" w:eastAsia="宋体"/>
    </w:rPr>
  </w:style>
  <w:style w:type="paragraph" w:styleId="33">
    <w:name w:val="toc 4"/>
    <w:basedOn w:val="1"/>
    <w:next w:val="1"/>
    <w:unhideWhenUsed/>
    <w:qFormat/>
    <w:uiPriority w:val="39"/>
    <w:pPr>
      <w:autoSpaceDE/>
      <w:autoSpaceDN/>
      <w:adjustRightInd/>
      <w:ind w:left="1260" w:leftChars="600"/>
      <w:jc w:val="both"/>
    </w:pPr>
    <w:rPr>
      <w:rFonts w:asciiTheme="minorHAnsi" w:hAnsiTheme="minorHAnsi" w:cstheme="minorBidi"/>
      <w:kern w:val="2"/>
      <w:sz w:val="21"/>
      <w:szCs w:val="22"/>
    </w:rPr>
  </w:style>
  <w:style w:type="paragraph" w:styleId="34">
    <w:name w:val="Subtitle"/>
    <w:basedOn w:val="1"/>
    <w:next w:val="1"/>
    <w:link w:val="82"/>
    <w:qFormat/>
    <w:uiPriority w:val="0"/>
    <w:pPr>
      <w:autoSpaceDE/>
      <w:autoSpaceDN/>
      <w:adjustRightInd/>
      <w:spacing w:before="240" w:after="60" w:line="312" w:lineRule="auto"/>
      <w:jc w:val="center"/>
      <w:outlineLvl w:val="1"/>
    </w:pPr>
    <w:rPr>
      <w:rFonts w:ascii="Cambria" w:hAnsi="Cambria"/>
      <w:b/>
      <w:bCs/>
      <w:kern w:val="28"/>
      <w:sz w:val="32"/>
      <w:szCs w:val="32"/>
    </w:rPr>
  </w:style>
  <w:style w:type="paragraph" w:styleId="35">
    <w:name w:val="List"/>
    <w:basedOn w:val="1"/>
    <w:unhideWhenUsed/>
    <w:qFormat/>
    <w:uiPriority w:val="99"/>
    <w:pPr>
      <w:autoSpaceDE/>
      <w:autoSpaceDN/>
      <w:adjustRightInd/>
      <w:spacing w:before="260" w:after="260"/>
      <w:ind w:left="200" w:hanging="200" w:hangingChars="200"/>
      <w:contextualSpacing/>
      <w:jc w:val="both"/>
    </w:pPr>
    <w:rPr>
      <w:rFonts w:eastAsia="宋体"/>
      <w:kern w:val="2"/>
      <w:sz w:val="21"/>
      <w:szCs w:val="20"/>
    </w:rPr>
  </w:style>
  <w:style w:type="paragraph" w:styleId="36">
    <w:name w:val="toc 6"/>
    <w:basedOn w:val="1"/>
    <w:next w:val="1"/>
    <w:unhideWhenUsed/>
    <w:qFormat/>
    <w:uiPriority w:val="39"/>
    <w:pPr>
      <w:autoSpaceDE/>
      <w:autoSpaceDN/>
      <w:adjustRightInd/>
      <w:ind w:left="2100" w:leftChars="1000"/>
      <w:jc w:val="both"/>
    </w:pPr>
    <w:rPr>
      <w:rFonts w:asciiTheme="minorHAnsi" w:hAnsiTheme="minorHAnsi" w:cstheme="minorBidi"/>
      <w:kern w:val="2"/>
      <w:sz w:val="21"/>
      <w:szCs w:val="22"/>
    </w:rPr>
  </w:style>
  <w:style w:type="paragraph" w:styleId="37">
    <w:name w:val="List 5"/>
    <w:basedOn w:val="1"/>
    <w:unhideWhenUsed/>
    <w:qFormat/>
    <w:uiPriority w:val="99"/>
    <w:pPr>
      <w:autoSpaceDE/>
      <w:autoSpaceDN/>
      <w:adjustRightInd/>
      <w:spacing w:before="260" w:after="260"/>
      <w:ind w:left="100" w:leftChars="800" w:hanging="200" w:hangingChars="200"/>
      <w:contextualSpacing/>
      <w:jc w:val="both"/>
    </w:pPr>
    <w:rPr>
      <w:rFonts w:eastAsia="宋体"/>
      <w:kern w:val="2"/>
      <w:sz w:val="21"/>
      <w:szCs w:val="20"/>
    </w:rPr>
  </w:style>
  <w:style w:type="paragraph" w:styleId="38">
    <w:name w:val="Body Text Indent 3"/>
    <w:basedOn w:val="1"/>
    <w:link w:val="95"/>
    <w:qFormat/>
    <w:uiPriority w:val="0"/>
    <w:pPr>
      <w:autoSpaceDE/>
      <w:autoSpaceDN/>
      <w:adjustRightInd/>
      <w:spacing w:line="360" w:lineRule="exact"/>
      <w:ind w:firstLine="560" w:firstLineChars="200"/>
      <w:jc w:val="both"/>
    </w:pPr>
    <w:rPr>
      <w:rFonts w:asciiTheme="minorHAnsi" w:hAnsiTheme="minorHAnsi"/>
      <w:kern w:val="2"/>
      <w:sz w:val="16"/>
      <w:szCs w:val="16"/>
    </w:rPr>
  </w:style>
  <w:style w:type="paragraph" w:styleId="39">
    <w:name w:val="toc 2"/>
    <w:basedOn w:val="1"/>
    <w:next w:val="1"/>
    <w:unhideWhenUsed/>
    <w:qFormat/>
    <w:uiPriority w:val="39"/>
    <w:pPr>
      <w:tabs>
        <w:tab w:val="right" w:leader="dot" w:pos="8811"/>
      </w:tabs>
      <w:snapToGrid w:val="0"/>
      <w:spacing w:line="360" w:lineRule="auto"/>
      <w:ind w:left="480" w:leftChars="200"/>
      <w:jc w:val="both"/>
    </w:pPr>
    <w:rPr>
      <w:rFonts w:ascii="Arial" w:hAnsi="Arial" w:eastAsia="宋体"/>
      <w:sz w:val="21"/>
    </w:rPr>
  </w:style>
  <w:style w:type="paragraph" w:styleId="40">
    <w:name w:val="toc 9"/>
    <w:basedOn w:val="1"/>
    <w:next w:val="1"/>
    <w:unhideWhenUsed/>
    <w:qFormat/>
    <w:uiPriority w:val="39"/>
    <w:pPr>
      <w:autoSpaceDE/>
      <w:autoSpaceDN/>
      <w:adjustRightInd/>
      <w:ind w:left="3360" w:leftChars="1600"/>
      <w:jc w:val="both"/>
    </w:pPr>
    <w:rPr>
      <w:rFonts w:asciiTheme="minorHAnsi" w:hAnsiTheme="minorHAnsi" w:cstheme="minorBidi"/>
      <w:kern w:val="2"/>
      <w:sz w:val="21"/>
      <w:szCs w:val="22"/>
    </w:rPr>
  </w:style>
  <w:style w:type="paragraph" w:styleId="41">
    <w:name w:val="List 4"/>
    <w:basedOn w:val="1"/>
    <w:unhideWhenUsed/>
    <w:qFormat/>
    <w:uiPriority w:val="99"/>
    <w:pPr>
      <w:autoSpaceDE/>
      <w:autoSpaceDN/>
      <w:adjustRightInd/>
      <w:spacing w:before="260" w:after="260"/>
      <w:ind w:left="100" w:leftChars="600" w:hanging="200" w:hangingChars="200"/>
      <w:contextualSpacing/>
      <w:jc w:val="both"/>
    </w:pPr>
    <w:rPr>
      <w:rFonts w:eastAsia="宋体"/>
      <w:kern w:val="2"/>
      <w:sz w:val="21"/>
      <w:szCs w:val="20"/>
    </w:rPr>
  </w:style>
  <w:style w:type="paragraph" w:styleId="42">
    <w:name w:val="HTML Preformatted"/>
    <w:basedOn w:val="1"/>
    <w:link w:val="19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宋体" w:hAnsi="宋体" w:eastAsia="宋体" w:cs="宋体"/>
    </w:rPr>
  </w:style>
  <w:style w:type="paragraph" w:styleId="43">
    <w:name w:val="Normal (Web)"/>
    <w:basedOn w:val="1"/>
    <w:unhideWhenUsed/>
    <w:qFormat/>
    <w:uiPriority w:val="99"/>
    <w:pPr>
      <w:widowControl/>
      <w:autoSpaceDE/>
      <w:autoSpaceDN/>
      <w:adjustRightInd/>
      <w:spacing w:before="100" w:beforeAutospacing="1" w:after="100" w:afterAutospacing="1"/>
    </w:pPr>
    <w:rPr>
      <w:rFonts w:ascii="宋体" w:hAnsi="宋体" w:eastAsia="宋体" w:cs="宋体"/>
    </w:rPr>
  </w:style>
  <w:style w:type="paragraph" w:styleId="44">
    <w:name w:val="Title"/>
    <w:basedOn w:val="1"/>
    <w:next w:val="1"/>
    <w:link w:val="75"/>
    <w:qFormat/>
    <w:uiPriority w:val="0"/>
    <w:pPr>
      <w:autoSpaceDE/>
      <w:autoSpaceDN/>
      <w:adjustRightInd/>
      <w:spacing w:before="240" w:after="60"/>
      <w:jc w:val="center"/>
      <w:outlineLvl w:val="0"/>
    </w:pPr>
    <w:rPr>
      <w:rFonts w:ascii="Cambria" w:hAnsi="Cambria"/>
      <w:b/>
      <w:bCs/>
      <w:kern w:val="2"/>
      <w:sz w:val="32"/>
      <w:szCs w:val="32"/>
    </w:rPr>
  </w:style>
  <w:style w:type="paragraph" w:styleId="45">
    <w:name w:val="annotation subject"/>
    <w:basedOn w:val="17"/>
    <w:next w:val="17"/>
    <w:link w:val="72"/>
    <w:unhideWhenUsed/>
    <w:qFormat/>
    <w:uiPriority w:val="0"/>
    <w:pPr>
      <w:autoSpaceDE w:val="0"/>
      <w:autoSpaceDN w:val="0"/>
      <w:adjustRightInd w:val="0"/>
      <w:spacing w:line="240" w:lineRule="auto"/>
    </w:pPr>
    <w:rPr>
      <w:rFonts w:ascii="Times New Roman" w:hAnsi="Times New Roman" w:eastAsiaTheme="minorEastAsia"/>
      <w:b/>
      <w:bCs/>
      <w:kern w:val="0"/>
      <w:sz w:val="24"/>
    </w:rPr>
  </w:style>
  <w:style w:type="paragraph" w:styleId="46">
    <w:name w:val="Body Text First Indent"/>
    <w:basedOn w:val="2"/>
    <w:link w:val="136"/>
    <w:unhideWhenUsed/>
    <w:qFormat/>
    <w:uiPriority w:val="99"/>
    <w:pPr>
      <w:autoSpaceDE/>
      <w:autoSpaceDN/>
      <w:adjustRightInd/>
      <w:spacing w:before="260" w:after="120"/>
      <w:ind w:left="0" w:firstLine="420" w:firstLineChars="100"/>
      <w:jc w:val="both"/>
    </w:pPr>
    <w:rPr>
      <w:rFonts w:ascii="Times New Roman" w:eastAsia="宋体" w:cs="Times New Roman"/>
      <w:kern w:val="2"/>
      <w:szCs w:val="20"/>
    </w:rPr>
  </w:style>
  <w:style w:type="paragraph" w:styleId="47">
    <w:name w:val="Body Text First Indent 2"/>
    <w:basedOn w:val="19"/>
    <w:link w:val="137"/>
    <w:unhideWhenUsed/>
    <w:qFormat/>
    <w:uiPriority w:val="99"/>
    <w:pPr>
      <w:spacing w:after="120"/>
      <w:ind w:left="420" w:leftChars="200" w:firstLine="420" w:firstLineChars="200"/>
    </w:pPr>
    <w:rPr>
      <w:b w:val="0"/>
      <w:sz w:val="21"/>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basedOn w:val="50"/>
    <w:unhideWhenUsed/>
    <w:qFormat/>
    <w:uiPriority w:val="99"/>
    <w:rPr>
      <w:color w:val="954F72" w:themeColor="followedHyperlink"/>
      <w:u w:val="single"/>
      <w14:textFill>
        <w14:solidFill>
          <w14:schemeClr w14:val="folHlink"/>
        </w14:solidFill>
      </w14:textFill>
    </w:rPr>
  </w:style>
  <w:style w:type="character" w:styleId="54">
    <w:name w:val="Hyperlink"/>
    <w:basedOn w:val="50"/>
    <w:unhideWhenUsed/>
    <w:qFormat/>
    <w:uiPriority w:val="99"/>
    <w:rPr>
      <w:color w:val="0563C1"/>
      <w:u w:val="single"/>
    </w:rPr>
  </w:style>
  <w:style w:type="character" w:styleId="55">
    <w:name w:val="annotation reference"/>
    <w:qFormat/>
    <w:uiPriority w:val="0"/>
    <w:rPr>
      <w:sz w:val="21"/>
      <w:szCs w:val="21"/>
    </w:rPr>
  </w:style>
  <w:style w:type="character" w:customStyle="1" w:styleId="56">
    <w:name w:val="标题 1 Char"/>
    <w:basedOn w:val="50"/>
    <w:link w:val="3"/>
    <w:qFormat/>
    <w:locked/>
    <w:uiPriority w:val="0"/>
    <w:rPr>
      <w:rFonts w:ascii="黑体" w:hAnsi="Times New Roman" w:eastAsia="黑体" w:cs="Adobe ｺﾚﾌ・Std R"/>
      <w:b/>
      <w:kern w:val="0"/>
      <w:sz w:val="44"/>
      <w:szCs w:val="44"/>
    </w:rPr>
  </w:style>
  <w:style w:type="character" w:customStyle="1" w:styleId="57">
    <w:name w:val="标题 2 Char"/>
    <w:basedOn w:val="50"/>
    <w:link w:val="4"/>
    <w:qFormat/>
    <w:locked/>
    <w:uiPriority w:val="0"/>
    <w:rPr>
      <w:rFonts w:ascii="Arial" w:hAnsi="Arial" w:eastAsia="宋体" w:cs="Adobe ｺﾚﾌ・Std R"/>
      <w:b/>
      <w:kern w:val="0"/>
      <w:sz w:val="32"/>
      <w:szCs w:val="32"/>
    </w:rPr>
  </w:style>
  <w:style w:type="character" w:customStyle="1" w:styleId="58">
    <w:name w:val="标题 3 Char"/>
    <w:basedOn w:val="50"/>
    <w:link w:val="5"/>
    <w:qFormat/>
    <w:locked/>
    <w:uiPriority w:val="0"/>
    <w:rPr>
      <w:rFonts w:ascii="Arial" w:hAnsi="Arial" w:eastAsia="宋体" w:cs="Adobe ｺﾚﾌ・Std R"/>
      <w:b/>
      <w:kern w:val="0"/>
      <w:sz w:val="28"/>
      <w:szCs w:val="28"/>
    </w:rPr>
  </w:style>
  <w:style w:type="character" w:customStyle="1" w:styleId="59">
    <w:name w:val="标题 4 Char"/>
    <w:basedOn w:val="50"/>
    <w:link w:val="6"/>
    <w:qFormat/>
    <w:uiPriority w:val="0"/>
    <w:rPr>
      <w:rFonts w:ascii="Cambria" w:hAnsi="Cambria" w:eastAsia="宋体"/>
      <w:b/>
      <w:bCs/>
      <w:sz w:val="28"/>
      <w:szCs w:val="28"/>
    </w:rPr>
  </w:style>
  <w:style w:type="character" w:customStyle="1" w:styleId="60">
    <w:name w:val="标题 5 Char"/>
    <w:basedOn w:val="50"/>
    <w:link w:val="7"/>
    <w:qFormat/>
    <w:uiPriority w:val="0"/>
    <w:rPr>
      <w:rFonts w:ascii="Calibri" w:hAnsi="Calibri" w:eastAsia="宋体"/>
      <w:b/>
      <w:bCs/>
      <w:sz w:val="28"/>
      <w:szCs w:val="28"/>
    </w:rPr>
  </w:style>
  <w:style w:type="character" w:customStyle="1" w:styleId="61">
    <w:name w:val="标题 6 Char"/>
    <w:basedOn w:val="50"/>
    <w:link w:val="8"/>
    <w:qFormat/>
    <w:uiPriority w:val="0"/>
    <w:rPr>
      <w:rFonts w:ascii="Cambria" w:hAnsi="Cambria" w:eastAsia="宋体"/>
      <w:b/>
      <w:bCs/>
      <w:sz w:val="24"/>
      <w:szCs w:val="24"/>
    </w:rPr>
  </w:style>
  <w:style w:type="character" w:customStyle="1" w:styleId="62">
    <w:name w:val="标题 7 Char"/>
    <w:basedOn w:val="50"/>
    <w:link w:val="9"/>
    <w:qFormat/>
    <w:uiPriority w:val="0"/>
    <w:rPr>
      <w:rFonts w:ascii="Calibri" w:hAnsi="Calibri" w:eastAsia="宋体"/>
      <w:b/>
      <w:bCs/>
      <w:sz w:val="24"/>
      <w:szCs w:val="24"/>
    </w:rPr>
  </w:style>
  <w:style w:type="character" w:customStyle="1" w:styleId="63">
    <w:name w:val="标题 8 Char"/>
    <w:basedOn w:val="50"/>
    <w:link w:val="10"/>
    <w:qFormat/>
    <w:uiPriority w:val="0"/>
    <w:rPr>
      <w:rFonts w:ascii="Cambria" w:hAnsi="Cambria" w:eastAsia="宋体"/>
      <w:sz w:val="24"/>
      <w:szCs w:val="24"/>
    </w:rPr>
  </w:style>
  <w:style w:type="character" w:customStyle="1" w:styleId="64">
    <w:name w:val="标题 9 Char"/>
    <w:basedOn w:val="50"/>
    <w:link w:val="11"/>
    <w:qFormat/>
    <w:uiPriority w:val="0"/>
    <w:rPr>
      <w:rFonts w:ascii="Cambria" w:hAnsi="Cambria" w:eastAsia="宋体"/>
    </w:rPr>
  </w:style>
  <w:style w:type="character" w:customStyle="1" w:styleId="65">
    <w:name w:val="正文文本 Char"/>
    <w:basedOn w:val="50"/>
    <w:link w:val="2"/>
    <w:qFormat/>
    <w:locked/>
    <w:uiPriority w:val="0"/>
    <w:rPr>
      <w:rFonts w:ascii="Times New Roman" w:hAnsi="Times New Roman" w:cs="Times New Roman"/>
      <w:kern w:val="0"/>
      <w:sz w:val="24"/>
      <w:szCs w:val="24"/>
    </w:rPr>
  </w:style>
  <w:style w:type="paragraph" w:styleId="66">
    <w:name w:val="List Paragraph"/>
    <w:basedOn w:val="1"/>
    <w:qFormat/>
    <w:uiPriority w:val="34"/>
  </w:style>
  <w:style w:type="paragraph" w:customStyle="1" w:styleId="67">
    <w:name w:val="Table Paragraph"/>
    <w:basedOn w:val="1"/>
    <w:qFormat/>
    <w:uiPriority w:val="1"/>
  </w:style>
  <w:style w:type="character" w:customStyle="1" w:styleId="68">
    <w:name w:val="页眉 Char"/>
    <w:basedOn w:val="50"/>
    <w:link w:val="31"/>
    <w:qFormat/>
    <w:locked/>
    <w:uiPriority w:val="0"/>
    <w:rPr>
      <w:rFonts w:ascii="Times New Roman" w:hAnsi="Times New Roman" w:cs="Times New Roman"/>
      <w:kern w:val="0"/>
      <w:sz w:val="18"/>
      <w:szCs w:val="18"/>
    </w:rPr>
  </w:style>
  <w:style w:type="character" w:customStyle="1" w:styleId="69">
    <w:name w:val="页脚 Char"/>
    <w:basedOn w:val="50"/>
    <w:link w:val="30"/>
    <w:qFormat/>
    <w:locked/>
    <w:uiPriority w:val="99"/>
    <w:rPr>
      <w:rFonts w:ascii="Times New Roman" w:hAnsi="Times New Roman" w:cs="Times New Roman"/>
      <w:kern w:val="0"/>
      <w:sz w:val="18"/>
      <w:szCs w:val="18"/>
    </w:rPr>
  </w:style>
  <w:style w:type="character" w:customStyle="1" w:styleId="70">
    <w:name w:val="批注框文本 Char"/>
    <w:basedOn w:val="50"/>
    <w:link w:val="29"/>
    <w:qFormat/>
    <w:locked/>
    <w:uiPriority w:val="0"/>
    <w:rPr>
      <w:rFonts w:ascii="Times New Roman" w:hAnsi="Times New Roman" w:cs="Times New Roman"/>
      <w:kern w:val="0"/>
      <w:sz w:val="18"/>
      <w:szCs w:val="18"/>
    </w:rPr>
  </w:style>
  <w:style w:type="character" w:customStyle="1" w:styleId="71">
    <w:name w:val="批注文字 Char"/>
    <w:basedOn w:val="50"/>
    <w:link w:val="17"/>
    <w:qFormat/>
    <w:uiPriority w:val="0"/>
    <w:rPr>
      <w:rFonts w:ascii="Arial" w:hAnsi="Arial" w:eastAsia="宋体"/>
      <w:szCs w:val="24"/>
    </w:rPr>
  </w:style>
  <w:style w:type="character" w:customStyle="1" w:styleId="72">
    <w:name w:val="批注主题 Char"/>
    <w:basedOn w:val="71"/>
    <w:link w:val="45"/>
    <w:qFormat/>
    <w:uiPriority w:val="0"/>
    <w:rPr>
      <w:rFonts w:ascii="Times New Roman" w:hAnsi="Times New Roman" w:eastAsia="宋体"/>
      <w:b/>
      <w:bCs/>
      <w:kern w:val="0"/>
      <w:sz w:val="24"/>
      <w:szCs w:val="24"/>
    </w:rPr>
  </w:style>
  <w:style w:type="character" w:customStyle="1" w:styleId="73">
    <w:name w:val="标题5 Char Char"/>
    <w:link w:val="74"/>
    <w:qFormat/>
    <w:uiPriority w:val="0"/>
    <w:rPr>
      <w:rFonts w:ascii="Arial" w:hAnsi="Arial"/>
      <w:b/>
      <w:bCs/>
      <w:sz w:val="24"/>
      <w:szCs w:val="32"/>
    </w:rPr>
  </w:style>
  <w:style w:type="paragraph" w:customStyle="1" w:styleId="74">
    <w:name w:val="标题5"/>
    <w:basedOn w:val="5"/>
    <w:link w:val="73"/>
    <w:qFormat/>
    <w:uiPriority w:val="0"/>
    <w:pPr>
      <w:keepNext/>
      <w:keepLines/>
      <w:topLinePunct w:val="0"/>
      <w:adjustRightInd/>
      <w:snapToGrid/>
      <w:spacing w:before="260" w:after="260" w:line="413" w:lineRule="auto"/>
      <w:ind w:firstLine="0" w:firstLineChars="0"/>
    </w:pPr>
    <w:rPr>
      <w:rFonts w:cs="Times New Roman" w:eastAsiaTheme="minorEastAsia"/>
      <w:bCs/>
      <w:kern w:val="2"/>
      <w:szCs w:val="32"/>
    </w:rPr>
  </w:style>
  <w:style w:type="character" w:customStyle="1" w:styleId="75">
    <w:name w:val="标题 Char"/>
    <w:link w:val="44"/>
    <w:qFormat/>
    <w:uiPriority w:val="0"/>
    <w:rPr>
      <w:rFonts w:ascii="Cambria" w:hAnsi="Cambria"/>
      <w:b/>
      <w:bCs/>
      <w:sz w:val="32"/>
      <w:szCs w:val="32"/>
    </w:rPr>
  </w:style>
  <w:style w:type="character" w:customStyle="1" w:styleId="76">
    <w:name w:val="标题4 Char Char"/>
    <w:link w:val="77"/>
    <w:qFormat/>
    <w:uiPriority w:val="0"/>
    <w:rPr>
      <w:rFonts w:ascii="Arial" w:hAnsi="Arial"/>
      <w:b/>
      <w:bCs/>
      <w:sz w:val="24"/>
      <w:szCs w:val="32"/>
    </w:rPr>
  </w:style>
  <w:style w:type="paragraph" w:customStyle="1" w:styleId="77">
    <w:name w:val="标题4"/>
    <w:basedOn w:val="4"/>
    <w:next w:val="22"/>
    <w:link w:val="76"/>
    <w:qFormat/>
    <w:uiPriority w:val="0"/>
    <w:pPr>
      <w:keepNext/>
      <w:keepLines/>
      <w:topLinePunct w:val="0"/>
      <w:adjustRightInd/>
      <w:snapToGrid/>
      <w:spacing w:before="260" w:after="260" w:line="413" w:lineRule="auto"/>
    </w:pPr>
    <w:rPr>
      <w:rFonts w:cs="Times New Roman" w:eastAsiaTheme="minorEastAsia"/>
      <w:bCs/>
      <w:kern w:val="2"/>
      <w:sz w:val="24"/>
    </w:rPr>
  </w:style>
  <w:style w:type="character" w:customStyle="1" w:styleId="78">
    <w:name w:val="日期 Char"/>
    <w:link w:val="27"/>
    <w:qFormat/>
    <w:uiPriority w:val="0"/>
    <w:rPr>
      <w:rFonts w:ascii="宋体" w:hAnsi="Times New Roman"/>
      <w:sz w:val="28"/>
    </w:rPr>
  </w:style>
  <w:style w:type="character" w:customStyle="1" w:styleId="79">
    <w:name w:val="明显引用 Char"/>
    <w:link w:val="80"/>
    <w:qFormat/>
    <w:uiPriority w:val="0"/>
    <w:rPr>
      <w:b/>
      <w:bCs/>
      <w:i/>
      <w:iCs/>
      <w:color w:val="4F81BD"/>
      <w:szCs w:val="22"/>
    </w:rPr>
  </w:style>
  <w:style w:type="paragraph" w:styleId="80">
    <w:name w:val="Intense Quote"/>
    <w:basedOn w:val="1"/>
    <w:next w:val="1"/>
    <w:link w:val="79"/>
    <w:qFormat/>
    <w:uiPriority w:val="0"/>
    <w:pPr>
      <w:pBdr>
        <w:bottom w:val="single" w:color="4F81BD" w:sz="4" w:space="4"/>
      </w:pBdr>
      <w:autoSpaceDE/>
      <w:autoSpaceDN/>
      <w:adjustRightInd/>
      <w:spacing w:before="200" w:after="280"/>
      <w:ind w:left="936" w:right="936"/>
      <w:jc w:val="both"/>
    </w:pPr>
    <w:rPr>
      <w:rFonts w:asciiTheme="minorHAnsi" w:hAnsiTheme="minorHAnsi"/>
      <w:b/>
      <w:bCs/>
      <w:i/>
      <w:iCs/>
      <w:color w:val="4F81BD"/>
      <w:kern w:val="2"/>
      <w:sz w:val="21"/>
      <w:szCs w:val="22"/>
    </w:rPr>
  </w:style>
  <w:style w:type="character" w:customStyle="1" w:styleId="81">
    <w:name w:val="文档结构图 Char"/>
    <w:link w:val="16"/>
    <w:qFormat/>
    <w:uiPriority w:val="0"/>
    <w:rPr>
      <w:rFonts w:ascii="Times New Roman" w:hAnsi="Times New Roman"/>
      <w:szCs w:val="24"/>
      <w:shd w:val="clear" w:color="auto" w:fill="000080"/>
    </w:rPr>
  </w:style>
  <w:style w:type="character" w:customStyle="1" w:styleId="82">
    <w:name w:val="副标题 Char"/>
    <w:link w:val="34"/>
    <w:qFormat/>
    <w:uiPriority w:val="0"/>
    <w:rPr>
      <w:rFonts w:ascii="Cambria" w:hAnsi="Cambria"/>
      <w:b/>
      <w:bCs/>
      <w:kern w:val="28"/>
      <w:sz w:val="32"/>
      <w:szCs w:val="32"/>
    </w:rPr>
  </w:style>
  <w:style w:type="character" w:customStyle="1" w:styleId="83">
    <w:name w:val="引用 Char"/>
    <w:link w:val="84"/>
    <w:qFormat/>
    <w:uiPriority w:val="0"/>
    <w:rPr>
      <w:i/>
      <w:iCs/>
      <w:color w:val="000000"/>
      <w:szCs w:val="22"/>
    </w:rPr>
  </w:style>
  <w:style w:type="paragraph" w:styleId="84">
    <w:name w:val="Quote"/>
    <w:basedOn w:val="1"/>
    <w:next w:val="1"/>
    <w:link w:val="83"/>
    <w:qFormat/>
    <w:uiPriority w:val="0"/>
    <w:pPr>
      <w:autoSpaceDE/>
      <w:autoSpaceDN/>
      <w:adjustRightInd/>
      <w:jc w:val="both"/>
    </w:pPr>
    <w:rPr>
      <w:rFonts w:asciiTheme="minorHAnsi" w:hAnsiTheme="minorHAnsi"/>
      <w:i/>
      <w:iCs/>
      <w:color w:val="000000"/>
      <w:kern w:val="2"/>
      <w:sz w:val="21"/>
      <w:szCs w:val="22"/>
    </w:rPr>
  </w:style>
  <w:style w:type="character" w:customStyle="1" w:styleId="85">
    <w:name w:val="引用 字符1"/>
    <w:basedOn w:val="50"/>
    <w:qFormat/>
    <w:uiPriority w:val="29"/>
    <w:rPr>
      <w:rFonts w:ascii="Times New Roman" w:hAnsi="Times New Roman"/>
      <w:i/>
      <w:iCs/>
      <w:color w:val="404040" w:themeColor="text1" w:themeTint="BF"/>
      <w:kern w:val="0"/>
      <w:sz w:val="24"/>
      <w:szCs w:val="24"/>
      <w14:textFill>
        <w14:solidFill>
          <w14:schemeClr w14:val="tx1">
            <w14:lumMod w14:val="75000"/>
            <w14:lumOff w14:val="25000"/>
          </w14:schemeClr>
        </w14:solidFill>
      </w14:textFill>
    </w:rPr>
  </w:style>
  <w:style w:type="character" w:customStyle="1" w:styleId="86">
    <w:name w:val="明显引用 字符1"/>
    <w:basedOn w:val="50"/>
    <w:qFormat/>
    <w:uiPriority w:val="30"/>
    <w:rPr>
      <w:rFonts w:ascii="Times New Roman" w:hAnsi="Times New Roman"/>
      <w:i/>
      <w:iCs/>
      <w:color w:val="4472C4" w:themeColor="accent1"/>
      <w:kern w:val="0"/>
      <w:sz w:val="24"/>
      <w:szCs w:val="24"/>
      <w14:textFill>
        <w14:solidFill>
          <w14:schemeClr w14:val="accent1"/>
        </w14:solidFill>
      </w14:textFill>
    </w:rPr>
  </w:style>
  <w:style w:type="character" w:customStyle="1" w:styleId="87">
    <w:name w:val="副标题 字符1"/>
    <w:basedOn w:val="50"/>
    <w:qFormat/>
    <w:uiPriority w:val="11"/>
    <w:rPr>
      <w:rFonts w:cstheme="minorBidi"/>
      <w:b/>
      <w:bCs/>
      <w:kern w:val="28"/>
      <w:sz w:val="32"/>
      <w:szCs w:val="32"/>
    </w:rPr>
  </w:style>
  <w:style w:type="character" w:customStyle="1" w:styleId="88">
    <w:name w:val="文档结构图 字符1"/>
    <w:basedOn w:val="50"/>
    <w:semiHidden/>
    <w:qFormat/>
    <w:uiPriority w:val="99"/>
    <w:rPr>
      <w:rFonts w:ascii="Microsoft YaHei UI" w:hAnsi="Times New Roman" w:eastAsia="Microsoft YaHei UI"/>
      <w:kern w:val="0"/>
      <w:sz w:val="18"/>
      <w:szCs w:val="18"/>
    </w:rPr>
  </w:style>
  <w:style w:type="character" w:customStyle="1" w:styleId="89">
    <w:name w:val="日期 字符1"/>
    <w:basedOn w:val="50"/>
    <w:semiHidden/>
    <w:qFormat/>
    <w:uiPriority w:val="99"/>
    <w:rPr>
      <w:rFonts w:ascii="Times New Roman" w:hAnsi="Times New Roman"/>
      <w:kern w:val="0"/>
      <w:sz w:val="24"/>
      <w:szCs w:val="24"/>
    </w:rPr>
  </w:style>
  <w:style w:type="character" w:customStyle="1" w:styleId="90">
    <w:name w:val="标题 字符1"/>
    <w:basedOn w:val="50"/>
    <w:qFormat/>
    <w:uiPriority w:val="10"/>
    <w:rPr>
      <w:rFonts w:asciiTheme="majorHAnsi" w:hAnsiTheme="majorHAnsi" w:eastAsiaTheme="majorEastAsia" w:cstheme="majorBidi"/>
      <w:b/>
      <w:bCs/>
      <w:kern w:val="0"/>
      <w:sz w:val="32"/>
      <w:szCs w:val="32"/>
    </w:rPr>
  </w:style>
  <w:style w:type="character" w:customStyle="1" w:styleId="91">
    <w:name w:val="正文文本缩进 2 Char"/>
    <w:basedOn w:val="50"/>
    <w:link w:val="28"/>
    <w:qFormat/>
    <w:uiPriority w:val="0"/>
    <w:rPr>
      <w:rFonts w:ascii="Times New Roman" w:hAnsi="Times New Roman" w:eastAsia="宋体"/>
      <w:sz w:val="24"/>
      <w:szCs w:val="24"/>
    </w:rPr>
  </w:style>
  <w:style w:type="character" w:customStyle="1" w:styleId="92">
    <w:name w:val="纯文本 Char"/>
    <w:basedOn w:val="50"/>
    <w:link w:val="25"/>
    <w:qFormat/>
    <w:uiPriority w:val="0"/>
    <w:rPr>
      <w:rFonts w:ascii="宋体" w:hAnsi="Courier New" w:eastAsia="宋体" w:cs="Courier New"/>
    </w:rPr>
  </w:style>
  <w:style w:type="paragraph" w:customStyle="1" w:styleId="93">
    <w:name w:val="修订1"/>
    <w:hidden/>
    <w:qFormat/>
    <w:uiPriority w:val="0"/>
    <w:rPr>
      <w:rFonts w:ascii="Times New Roman" w:hAnsi="Times New Roman" w:cs="Times New Roman" w:eastAsiaTheme="minorEastAsia"/>
      <w:sz w:val="24"/>
      <w:szCs w:val="24"/>
      <w:lang w:val="en-US" w:eastAsia="zh-CN" w:bidi="ar-SA"/>
    </w:rPr>
  </w:style>
  <w:style w:type="character" w:customStyle="1" w:styleId="94">
    <w:name w:val="未处理的提及1"/>
    <w:basedOn w:val="50"/>
    <w:semiHidden/>
    <w:unhideWhenUsed/>
    <w:qFormat/>
    <w:uiPriority w:val="99"/>
    <w:rPr>
      <w:color w:val="605E5C"/>
      <w:shd w:val="clear" w:color="auto" w:fill="E1DFDD"/>
    </w:rPr>
  </w:style>
  <w:style w:type="character" w:customStyle="1" w:styleId="95">
    <w:name w:val="正文文本缩进 3 Char"/>
    <w:link w:val="38"/>
    <w:qFormat/>
    <w:locked/>
    <w:uiPriority w:val="0"/>
    <w:rPr>
      <w:sz w:val="16"/>
      <w:szCs w:val="16"/>
    </w:rPr>
  </w:style>
  <w:style w:type="character" w:customStyle="1" w:styleId="96">
    <w:name w:val="正文文本缩进 3 字符1"/>
    <w:basedOn w:val="50"/>
    <w:semiHidden/>
    <w:qFormat/>
    <w:uiPriority w:val="99"/>
    <w:rPr>
      <w:rFonts w:ascii="Times New Roman" w:hAnsi="Times New Roman"/>
      <w:kern w:val="0"/>
      <w:sz w:val="16"/>
      <w:szCs w:val="16"/>
    </w:rPr>
  </w:style>
  <w:style w:type="paragraph" w:customStyle="1" w:styleId="97">
    <w:name w:val="Default"/>
    <w:link w:val="98"/>
    <w:qFormat/>
    <w:uiPriority w:val="0"/>
    <w:pPr>
      <w:widowControl w:val="0"/>
      <w:autoSpaceDE w:val="0"/>
      <w:autoSpaceDN w:val="0"/>
      <w:adjustRightInd w:val="0"/>
      <w:spacing w:line="360" w:lineRule="auto"/>
      <w:jc w:val="both"/>
    </w:pPr>
    <w:rPr>
      <w:rFonts w:ascii="宋体" w:hAnsi="Calibri" w:eastAsia="宋体" w:cs="宋体"/>
      <w:color w:val="000000"/>
      <w:sz w:val="24"/>
      <w:szCs w:val="24"/>
      <w:lang w:val="en-US" w:eastAsia="zh-CN" w:bidi="ar-SA"/>
    </w:rPr>
  </w:style>
  <w:style w:type="character" w:customStyle="1" w:styleId="98">
    <w:name w:val="Default Char Char"/>
    <w:link w:val="97"/>
    <w:qFormat/>
    <w:uiPriority w:val="0"/>
    <w:rPr>
      <w:rFonts w:ascii="宋体" w:hAnsi="Calibri" w:eastAsia="宋体" w:cs="宋体"/>
      <w:color w:val="000000"/>
      <w:kern w:val="0"/>
      <w:sz w:val="24"/>
      <w:szCs w:val="24"/>
    </w:rPr>
  </w:style>
  <w:style w:type="character" w:customStyle="1" w:styleId="99">
    <w:name w:val="标题 2 Char1"/>
    <w:qFormat/>
    <w:uiPriority w:val="0"/>
    <w:rPr>
      <w:rFonts w:ascii="Arial" w:hAnsi="Arial" w:eastAsia="黑体" w:cs="Times New Roman"/>
      <w:b/>
      <w:bCs/>
      <w:kern w:val="0"/>
      <w:sz w:val="32"/>
      <w:szCs w:val="32"/>
    </w:rPr>
  </w:style>
  <w:style w:type="character" w:customStyle="1" w:styleId="100">
    <w:name w:val="unnamed11"/>
    <w:qFormat/>
    <w:uiPriority w:val="0"/>
    <w:rPr>
      <w:u w:val="none"/>
    </w:rPr>
  </w:style>
  <w:style w:type="character" w:customStyle="1" w:styleId="101">
    <w:name w:val="专用功能1"/>
    <w:qFormat/>
    <w:uiPriority w:val="0"/>
    <w:rPr>
      <w:color w:val="666666"/>
      <w:sz w:val="20"/>
    </w:rPr>
  </w:style>
  <w:style w:type="paragraph" w:customStyle="1" w:styleId="102">
    <w:name w:val="正文1"/>
    <w:basedOn w:val="1"/>
    <w:qFormat/>
    <w:uiPriority w:val="0"/>
    <w:pPr>
      <w:autoSpaceDE/>
      <w:autoSpaceDN/>
      <w:spacing w:before="260" w:after="260" w:line="360" w:lineRule="atLeast"/>
      <w:textAlignment w:val="baseline"/>
    </w:pPr>
    <w:rPr>
      <w:rFonts w:ascii="宋体" w:eastAsia="宋体"/>
      <w:b/>
      <w:szCs w:val="20"/>
    </w:rPr>
  </w:style>
  <w:style w:type="paragraph" w:customStyle="1" w:styleId="103">
    <w:name w:val="缺省文本"/>
    <w:qFormat/>
    <w:uiPriority w:val="0"/>
    <w:pPr>
      <w:widowControl w:val="0"/>
      <w:autoSpaceDE w:val="0"/>
      <w:autoSpaceDN w:val="0"/>
      <w:adjustRightInd w:val="0"/>
      <w:spacing w:before="260" w:after="260"/>
      <w:jc w:val="both"/>
    </w:pPr>
    <w:rPr>
      <w:rFonts w:ascii="Times New Roman" w:hAnsi="Times New Roman" w:eastAsia="宋体" w:cs="Times New Roman"/>
      <w:color w:val="000000"/>
      <w:szCs w:val="24"/>
      <w:lang w:val="en-US" w:eastAsia="zh-CN" w:bidi="ar-SA"/>
    </w:rPr>
  </w:style>
  <w:style w:type="character" w:customStyle="1" w:styleId="104">
    <w:name w:val="正文文本缩进 Char"/>
    <w:basedOn w:val="50"/>
    <w:link w:val="19"/>
    <w:qFormat/>
    <w:uiPriority w:val="0"/>
    <w:rPr>
      <w:rFonts w:ascii="Times New Roman" w:hAnsi="Times New Roman" w:eastAsia="宋体"/>
      <w:b/>
      <w:sz w:val="24"/>
      <w:szCs w:val="20"/>
    </w:rPr>
  </w:style>
  <w:style w:type="character" w:customStyle="1" w:styleId="105">
    <w:name w:val="正文文本 Char1"/>
    <w:basedOn w:val="50"/>
    <w:qFormat/>
    <w:uiPriority w:val="0"/>
    <w:rPr>
      <w:rFonts w:ascii="Times New Roman" w:hAnsi="Times New Roman" w:eastAsia="宋体" w:cs="Times New Roman"/>
      <w:sz w:val="24"/>
      <w:szCs w:val="20"/>
    </w:rPr>
  </w:style>
  <w:style w:type="paragraph" w:customStyle="1" w:styleId="106">
    <w:name w:val="正文 New New New New New New New New New New New New New New New New New New New New New New New"/>
    <w:qFormat/>
    <w:uiPriority w:val="0"/>
    <w:pPr>
      <w:widowControl w:val="0"/>
      <w:spacing w:before="260" w:after="260"/>
      <w:jc w:val="both"/>
    </w:pPr>
    <w:rPr>
      <w:rFonts w:ascii="Times New Roman" w:hAnsi="Times New Roman" w:eastAsia="宋体" w:cs="Times New Roman"/>
      <w:kern w:val="2"/>
      <w:sz w:val="21"/>
      <w:lang w:val="en-US" w:eastAsia="zh-CN" w:bidi="ar-SA"/>
    </w:rPr>
  </w:style>
  <w:style w:type="paragraph" w:customStyle="1" w:styleId="107">
    <w:name w:val="样式2"/>
    <w:basedOn w:val="1"/>
    <w:qFormat/>
    <w:uiPriority w:val="0"/>
    <w:pPr>
      <w:autoSpaceDE/>
      <w:autoSpaceDN/>
      <w:spacing w:before="260" w:after="260" w:line="410" w:lineRule="atLeast"/>
      <w:textAlignment w:val="baseline"/>
    </w:pPr>
    <w:rPr>
      <w:rFonts w:eastAsia="宋体"/>
      <w:szCs w:val="20"/>
    </w:rPr>
  </w:style>
  <w:style w:type="paragraph" w:customStyle="1" w:styleId="108">
    <w:name w:val="55"/>
    <w:basedOn w:val="1"/>
    <w:qFormat/>
    <w:uiPriority w:val="0"/>
    <w:pPr>
      <w:autoSpaceDE/>
      <w:autoSpaceDN/>
      <w:spacing w:before="260" w:after="260" w:line="500" w:lineRule="exact"/>
      <w:ind w:firstLine="629"/>
      <w:jc w:val="both"/>
    </w:pPr>
    <w:rPr>
      <w:rFonts w:ascii="仿宋_GB2312" w:eastAsia="仿宋_GB2312"/>
      <w:kern w:val="2"/>
      <w:sz w:val="28"/>
      <w:szCs w:val="28"/>
    </w:rPr>
  </w:style>
  <w:style w:type="paragraph" w:customStyle="1" w:styleId="109">
    <w:name w:val="p0"/>
    <w:basedOn w:val="1"/>
    <w:qFormat/>
    <w:uiPriority w:val="0"/>
    <w:pPr>
      <w:widowControl/>
      <w:autoSpaceDE/>
      <w:autoSpaceDN/>
      <w:adjustRightInd/>
      <w:spacing w:before="260" w:after="260"/>
      <w:jc w:val="both"/>
    </w:pPr>
    <w:rPr>
      <w:rFonts w:eastAsia="宋体"/>
      <w:sz w:val="21"/>
      <w:szCs w:val="20"/>
    </w:rPr>
  </w:style>
  <w:style w:type="paragraph" w:customStyle="1" w:styleId="110">
    <w:name w:val="表格侧编号"/>
    <w:next w:val="1"/>
    <w:qFormat/>
    <w:uiPriority w:val="0"/>
    <w:pPr>
      <w:widowControl w:val="0"/>
      <w:spacing w:before="260" w:after="260"/>
      <w:jc w:val="center"/>
    </w:pPr>
    <w:rPr>
      <w:rFonts w:ascii="宋体" w:hAnsi="宋体" w:eastAsia="宋体" w:cs="Times New Roman"/>
      <w:kern w:val="2"/>
      <w:sz w:val="21"/>
      <w:lang w:val="en-US" w:eastAsia="zh-CN" w:bidi="ar-SA"/>
    </w:rPr>
  </w:style>
  <w:style w:type="paragraph" w:customStyle="1" w:styleId="111">
    <w:name w:val="附件"/>
    <w:basedOn w:val="1"/>
    <w:qFormat/>
    <w:uiPriority w:val="0"/>
    <w:pPr>
      <w:autoSpaceDE/>
      <w:autoSpaceDN/>
      <w:spacing w:before="120" w:after="60"/>
      <w:jc w:val="center"/>
      <w:textAlignment w:val="center"/>
    </w:pPr>
    <w:rPr>
      <w:rFonts w:ascii="黑体" w:eastAsia="黑体"/>
      <w:b/>
      <w:sz w:val="32"/>
      <w:szCs w:val="32"/>
    </w:rPr>
  </w:style>
  <w:style w:type="paragraph" w:customStyle="1" w:styleId="112">
    <w:name w:val="表格"/>
    <w:basedOn w:val="1"/>
    <w:link w:val="113"/>
    <w:qFormat/>
    <w:uiPriority w:val="0"/>
    <w:pPr>
      <w:autoSpaceDE/>
      <w:autoSpaceDN/>
      <w:spacing w:before="60" w:after="60"/>
      <w:jc w:val="center"/>
      <w:textAlignment w:val="baseline"/>
    </w:pPr>
    <w:rPr>
      <w:rFonts w:ascii="宋体" w:eastAsia="宋体"/>
      <w:szCs w:val="20"/>
    </w:rPr>
  </w:style>
  <w:style w:type="character" w:customStyle="1" w:styleId="113">
    <w:name w:val="表格 Char"/>
    <w:link w:val="112"/>
    <w:qFormat/>
    <w:locked/>
    <w:uiPriority w:val="0"/>
    <w:rPr>
      <w:rFonts w:ascii="宋体" w:hAnsi="Times New Roman" w:eastAsia="宋体"/>
      <w:kern w:val="0"/>
      <w:sz w:val="24"/>
      <w:szCs w:val="20"/>
    </w:rPr>
  </w:style>
  <w:style w:type="paragraph" w:customStyle="1" w:styleId="114">
    <w:name w:val="Char"/>
    <w:basedOn w:val="1"/>
    <w:qFormat/>
    <w:uiPriority w:val="0"/>
    <w:pPr>
      <w:autoSpaceDE/>
      <w:autoSpaceDN/>
      <w:spacing w:before="260" w:after="260" w:line="360" w:lineRule="auto"/>
      <w:jc w:val="both"/>
    </w:pPr>
    <w:rPr>
      <w:rFonts w:eastAsia="宋体"/>
      <w:szCs w:val="20"/>
    </w:rPr>
  </w:style>
  <w:style w:type="paragraph" w:customStyle="1" w:styleId="115">
    <w:name w:val="1"/>
    <w:basedOn w:val="1"/>
    <w:qFormat/>
    <w:uiPriority w:val="0"/>
    <w:pPr>
      <w:autoSpaceDE/>
      <w:autoSpaceDN/>
      <w:adjustRightInd/>
      <w:spacing w:before="260" w:afterLines="50" w:line="360" w:lineRule="auto"/>
      <w:ind w:firstLine="3243" w:firstLineChars="1080"/>
      <w:jc w:val="both"/>
    </w:pPr>
    <w:rPr>
      <w:rFonts w:ascii="宋体" w:hAnsi="宋体" w:eastAsia="宋体"/>
      <w:b/>
      <w:kern w:val="2"/>
      <w:sz w:val="30"/>
      <w:szCs w:val="21"/>
    </w:rPr>
  </w:style>
  <w:style w:type="paragraph" w:customStyle="1" w:styleId="116">
    <w:name w:val="金正文1"/>
    <w:basedOn w:val="1"/>
    <w:qFormat/>
    <w:uiPriority w:val="0"/>
    <w:pPr>
      <w:autoSpaceDE/>
      <w:autoSpaceDN/>
      <w:adjustRightInd/>
      <w:spacing w:before="260" w:after="260" w:line="360" w:lineRule="auto"/>
    </w:pPr>
    <w:rPr>
      <w:rFonts w:eastAsia="宋体"/>
      <w:kern w:val="2"/>
      <w:sz w:val="21"/>
      <w:szCs w:val="20"/>
    </w:rPr>
  </w:style>
  <w:style w:type="paragraph" w:customStyle="1" w:styleId="117">
    <w:name w:val="默认段落字体 Para Char Char Char Char"/>
    <w:basedOn w:val="1"/>
    <w:qFormat/>
    <w:uiPriority w:val="0"/>
    <w:pPr>
      <w:autoSpaceDE/>
      <w:autoSpaceDN/>
      <w:adjustRightInd/>
      <w:snapToGrid w:val="0"/>
      <w:spacing w:before="260" w:after="260"/>
      <w:jc w:val="both"/>
    </w:pPr>
    <w:rPr>
      <w:rFonts w:eastAsia="宋体"/>
      <w:kern w:val="2"/>
      <w:sz w:val="21"/>
      <w:szCs w:val="20"/>
    </w:rPr>
  </w:style>
  <w:style w:type="paragraph" w:customStyle="1" w:styleId="118">
    <w:name w:val="正文文本 31"/>
    <w:basedOn w:val="1"/>
    <w:qFormat/>
    <w:uiPriority w:val="0"/>
    <w:pPr>
      <w:autoSpaceDE/>
      <w:autoSpaceDN/>
      <w:spacing w:before="260" w:after="260" w:line="360" w:lineRule="auto"/>
      <w:jc w:val="center"/>
      <w:textAlignment w:val="baseline"/>
    </w:pPr>
    <w:rPr>
      <w:rFonts w:ascii="宋体" w:eastAsia="宋体"/>
      <w:b/>
      <w:color w:val="FF0000"/>
      <w:szCs w:val="20"/>
      <w:u w:val="single"/>
    </w:rPr>
  </w:style>
  <w:style w:type="paragraph" w:customStyle="1" w:styleId="119">
    <w:name w:val="样式 55 + (西文) Times New Roman (中文) 宋体 五号 加粗 行距: 1.5 倍行距"/>
    <w:basedOn w:val="108"/>
    <w:qFormat/>
    <w:uiPriority w:val="0"/>
    <w:pPr>
      <w:snapToGrid w:val="0"/>
      <w:spacing w:line="360" w:lineRule="auto"/>
      <w:ind w:firstLine="0"/>
    </w:pPr>
    <w:rPr>
      <w:rFonts w:ascii="Times New Roman" w:eastAsia="黑体" w:cs="宋体"/>
      <w:bCs/>
      <w:szCs w:val="20"/>
    </w:rPr>
  </w:style>
  <w:style w:type="paragraph" w:customStyle="1" w:styleId="120">
    <w:name w:val="标题2（新）"/>
    <w:basedOn w:val="4"/>
    <w:qFormat/>
    <w:uiPriority w:val="0"/>
    <w:pPr>
      <w:keepNext/>
      <w:keepLines/>
      <w:widowControl/>
      <w:topLinePunct w:val="0"/>
      <w:adjustRightInd/>
      <w:snapToGrid/>
      <w:spacing w:line="440" w:lineRule="exact"/>
      <w:jc w:val="left"/>
    </w:pPr>
    <w:rPr>
      <w:rFonts w:ascii="宋体" w:cs="宋体"/>
      <w:bCs/>
      <w:snapToGrid w:val="0"/>
      <w:szCs w:val="28"/>
    </w:rPr>
  </w:style>
  <w:style w:type="paragraph" w:customStyle="1" w:styleId="121">
    <w:name w:val="Char Char Char"/>
    <w:basedOn w:val="1"/>
    <w:qFormat/>
    <w:uiPriority w:val="0"/>
    <w:pPr>
      <w:autoSpaceDE/>
      <w:autoSpaceDN/>
      <w:adjustRightInd/>
      <w:spacing w:before="260" w:after="260"/>
      <w:jc w:val="both"/>
    </w:pPr>
    <w:rPr>
      <w:rFonts w:ascii="Tahoma" w:hAnsi="Tahoma" w:eastAsia="宋体"/>
      <w:kern w:val="2"/>
      <w:szCs w:val="20"/>
    </w:rPr>
  </w:style>
  <w:style w:type="paragraph" w:customStyle="1" w:styleId="122">
    <w:name w:val="TOC 标题1"/>
    <w:basedOn w:val="3"/>
    <w:next w:val="1"/>
    <w:qFormat/>
    <w:uiPriority w:val="39"/>
    <w:pPr>
      <w:keepNext/>
      <w:keepLines/>
      <w:widowControl/>
      <w:autoSpaceDE/>
      <w:autoSpaceDN/>
      <w:adjustRightInd/>
      <w:snapToGrid/>
      <w:spacing w:before="480" w:afterLines="50" w:line="276" w:lineRule="auto"/>
      <w:jc w:val="left"/>
      <w:outlineLvl w:val="9"/>
    </w:pPr>
    <w:rPr>
      <w:rFonts w:ascii="Cambria" w:hAnsi="Cambria" w:eastAsia="宋体" w:cs="Times New Roman"/>
      <w:bCs/>
      <w:color w:val="365F91"/>
      <w:sz w:val="28"/>
      <w:szCs w:val="28"/>
    </w:rPr>
  </w:style>
  <w:style w:type="paragraph" w:styleId="123">
    <w:name w:val="No Spacing"/>
    <w:link w:val="124"/>
    <w:qFormat/>
    <w:uiPriority w:val="1"/>
    <w:pPr>
      <w:spacing w:before="260" w:after="260"/>
      <w:jc w:val="both"/>
    </w:pPr>
    <w:rPr>
      <w:rFonts w:ascii="Calibri" w:hAnsi="Calibri" w:eastAsia="宋体" w:cs="Times New Roman"/>
      <w:sz w:val="22"/>
      <w:szCs w:val="22"/>
      <w:lang w:val="en-US" w:eastAsia="zh-CN" w:bidi="ar-SA"/>
    </w:rPr>
  </w:style>
  <w:style w:type="character" w:customStyle="1" w:styleId="124">
    <w:name w:val="无间隔 Char"/>
    <w:link w:val="123"/>
    <w:qFormat/>
    <w:uiPriority w:val="1"/>
    <w:rPr>
      <w:rFonts w:ascii="Calibri" w:hAnsi="Calibri" w:eastAsia="宋体"/>
      <w:kern w:val="0"/>
      <w:sz w:val="22"/>
      <w:szCs w:val="22"/>
    </w:rPr>
  </w:style>
  <w:style w:type="character" w:customStyle="1" w:styleId="125">
    <w:name w:val="正文文本 3 Char"/>
    <w:link w:val="18"/>
    <w:qFormat/>
    <w:uiPriority w:val="0"/>
    <w:rPr>
      <w:sz w:val="16"/>
      <w:szCs w:val="16"/>
    </w:rPr>
  </w:style>
  <w:style w:type="character" w:customStyle="1" w:styleId="126">
    <w:name w:val="正文文本 3 Char1"/>
    <w:basedOn w:val="50"/>
    <w:semiHidden/>
    <w:qFormat/>
    <w:uiPriority w:val="99"/>
    <w:rPr>
      <w:rFonts w:ascii="Times New Roman" w:hAnsi="Times New Roman"/>
      <w:kern w:val="0"/>
      <w:sz w:val="16"/>
      <w:szCs w:val="16"/>
    </w:rPr>
  </w:style>
  <w:style w:type="paragraph" w:customStyle="1" w:styleId="127">
    <w:name w:val="表格文字"/>
    <w:basedOn w:val="2"/>
    <w:qFormat/>
    <w:uiPriority w:val="0"/>
    <w:pPr>
      <w:autoSpaceDE/>
      <w:autoSpaceDN/>
      <w:spacing w:before="20" w:after="20" w:line="360" w:lineRule="atLeast"/>
      <w:ind w:left="0"/>
      <w:jc w:val="both"/>
      <w:textAlignment w:val="baseline"/>
    </w:pPr>
    <w:rPr>
      <w:rFonts w:ascii="Century Gothic" w:hAnsi="Century Gothic" w:eastAsia="宋体" w:cs="Times New Roman"/>
      <w:kern w:val="2"/>
      <w:sz w:val="20"/>
      <w:szCs w:val="20"/>
    </w:rPr>
  </w:style>
  <w:style w:type="paragraph" w:customStyle="1" w:styleId="128">
    <w:name w:val="正文文本缩进1"/>
    <w:basedOn w:val="1"/>
    <w:qFormat/>
    <w:uiPriority w:val="0"/>
    <w:pPr>
      <w:autoSpaceDE/>
      <w:autoSpaceDN/>
      <w:adjustRightInd/>
      <w:spacing w:before="260" w:after="120"/>
      <w:ind w:left="420" w:leftChars="200"/>
      <w:jc w:val="both"/>
    </w:pPr>
    <w:rPr>
      <w:rFonts w:eastAsia="宋体"/>
      <w:kern w:val="2"/>
      <w:sz w:val="21"/>
      <w:szCs w:val="21"/>
    </w:rPr>
  </w:style>
  <w:style w:type="paragraph" w:customStyle="1" w:styleId="129">
    <w:name w:val="正文2"/>
    <w:basedOn w:val="1"/>
    <w:qFormat/>
    <w:uiPriority w:val="0"/>
    <w:pPr>
      <w:autoSpaceDE/>
      <w:autoSpaceDN/>
      <w:adjustRightInd/>
      <w:spacing w:before="260" w:after="260" w:line="300" w:lineRule="auto"/>
      <w:ind w:left="500" w:leftChars="500"/>
      <w:jc w:val="both"/>
    </w:pPr>
    <w:rPr>
      <w:rFonts w:eastAsia="宋体"/>
      <w:kern w:val="2"/>
      <w:sz w:val="21"/>
      <w:szCs w:val="21"/>
    </w:rPr>
  </w:style>
  <w:style w:type="paragraph" w:customStyle="1" w:styleId="130">
    <w:name w:val="索引 11"/>
    <w:basedOn w:val="1"/>
    <w:next w:val="1"/>
    <w:qFormat/>
    <w:uiPriority w:val="99"/>
    <w:pPr>
      <w:autoSpaceDE/>
      <w:autoSpaceDN/>
      <w:adjustRightInd/>
      <w:spacing w:before="260" w:after="260"/>
      <w:jc w:val="both"/>
    </w:pPr>
    <w:rPr>
      <w:rFonts w:eastAsia="宋体"/>
      <w:kern w:val="2"/>
      <w:sz w:val="21"/>
      <w:szCs w:val="21"/>
    </w:rPr>
  </w:style>
  <w:style w:type="paragraph" w:customStyle="1" w:styleId="131">
    <w:name w:val="文章正文"/>
    <w:basedOn w:val="1"/>
    <w:link w:val="132"/>
    <w:qFormat/>
    <w:uiPriority w:val="0"/>
    <w:pPr>
      <w:autoSpaceDE/>
      <w:autoSpaceDN/>
      <w:adjustRightInd/>
      <w:spacing w:before="260" w:after="260" w:line="360" w:lineRule="auto"/>
      <w:ind w:firstLine="200" w:firstLineChars="200"/>
      <w:jc w:val="both"/>
    </w:pPr>
    <w:rPr>
      <w:rFonts w:ascii="Calibri" w:hAnsi="Calibri" w:eastAsia="宋体"/>
      <w:kern w:val="2"/>
    </w:rPr>
  </w:style>
  <w:style w:type="character" w:customStyle="1" w:styleId="132">
    <w:name w:val="文章正文 Char"/>
    <w:link w:val="131"/>
    <w:qFormat/>
    <w:uiPriority w:val="0"/>
    <w:rPr>
      <w:rFonts w:ascii="Calibri" w:hAnsi="Calibri" w:eastAsia="宋体"/>
      <w:sz w:val="24"/>
      <w:szCs w:val="24"/>
    </w:rPr>
  </w:style>
  <w:style w:type="paragraph" w:customStyle="1" w:styleId="133">
    <w:name w:val="Normal_9"/>
    <w:qFormat/>
    <w:uiPriority w:val="0"/>
    <w:pPr>
      <w:spacing w:before="120" w:after="240"/>
      <w:jc w:val="both"/>
    </w:pPr>
    <w:rPr>
      <w:rFonts w:ascii="Calibri" w:hAnsi="Calibri" w:eastAsia="Calibri" w:cs="Times New Roman"/>
      <w:sz w:val="22"/>
      <w:szCs w:val="22"/>
      <w:lang w:val="en-US" w:eastAsia="en-US" w:bidi="ar-SA"/>
    </w:rPr>
  </w:style>
  <w:style w:type="paragraph" w:customStyle="1" w:styleId="134">
    <w:name w:val="Normal_31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35">
    <w:name w:val="Normal_11"/>
    <w:qFormat/>
    <w:uiPriority w:val="0"/>
    <w:pPr>
      <w:spacing w:before="120" w:after="240"/>
      <w:jc w:val="both"/>
    </w:pPr>
    <w:rPr>
      <w:rFonts w:ascii="Calibri" w:hAnsi="Calibri" w:eastAsia="Calibri" w:cs="Times New Roman"/>
      <w:sz w:val="22"/>
      <w:szCs w:val="22"/>
      <w:lang w:val="en-US" w:eastAsia="en-US" w:bidi="ar-SA"/>
    </w:rPr>
  </w:style>
  <w:style w:type="character" w:customStyle="1" w:styleId="136">
    <w:name w:val="正文首行缩进 Char"/>
    <w:basedOn w:val="65"/>
    <w:link w:val="46"/>
    <w:qFormat/>
    <w:uiPriority w:val="99"/>
    <w:rPr>
      <w:rFonts w:ascii="Times New Roman" w:hAnsi="Times New Roman" w:eastAsia="宋体" w:cs="Times New Roman"/>
      <w:kern w:val="0"/>
      <w:sz w:val="24"/>
      <w:szCs w:val="20"/>
    </w:rPr>
  </w:style>
  <w:style w:type="character" w:customStyle="1" w:styleId="137">
    <w:name w:val="正文首行缩进 2 Char"/>
    <w:basedOn w:val="104"/>
    <w:link w:val="47"/>
    <w:qFormat/>
    <w:uiPriority w:val="99"/>
    <w:rPr>
      <w:rFonts w:ascii="Times New Roman" w:hAnsi="Times New Roman" w:eastAsia="宋体"/>
      <w:b w:val="0"/>
      <w:sz w:val="24"/>
      <w:szCs w:val="20"/>
    </w:rPr>
  </w:style>
  <w:style w:type="paragraph" w:customStyle="1" w:styleId="138">
    <w:name w:val="Normal_43"/>
    <w:qFormat/>
    <w:uiPriority w:val="0"/>
    <w:pPr>
      <w:spacing w:before="120" w:after="240"/>
      <w:jc w:val="both"/>
    </w:pPr>
    <w:rPr>
      <w:rFonts w:ascii="Calibri" w:hAnsi="Calibri" w:eastAsia="Calibri" w:cs="Times New Roman"/>
      <w:sz w:val="22"/>
      <w:szCs w:val="22"/>
      <w:lang w:val="en-US" w:eastAsia="en-US" w:bidi="ar-SA"/>
    </w:rPr>
  </w:style>
  <w:style w:type="paragraph" w:customStyle="1" w:styleId="139">
    <w:name w:val="Normal_44"/>
    <w:qFormat/>
    <w:uiPriority w:val="0"/>
    <w:pPr>
      <w:spacing w:before="120" w:after="240"/>
      <w:jc w:val="both"/>
    </w:pPr>
    <w:rPr>
      <w:rFonts w:ascii="Calibri" w:hAnsi="Calibri" w:eastAsia="Calibri" w:cs="Times New Roman"/>
      <w:sz w:val="22"/>
      <w:szCs w:val="22"/>
      <w:lang w:val="en-US" w:eastAsia="en-US" w:bidi="ar-SA"/>
    </w:rPr>
  </w:style>
  <w:style w:type="paragraph" w:customStyle="1" w:styleId="140">
    <w:name w:val="Normal_45"/>
    <w:qFormat/>
    <w:uiPriority w:val="0"/>
    <w:pPr>
      <w:spacing w:before="120" w:after="240"/>
      <w:jc w:val="both"/>
    </w:pPr>
    <w:rPr>
      <w:rFonts w:ascii="Calibri" w:hAnsi="Calibri" w:eastAsia="Calibri" w:cs="Times New Roman"/>
      <w:sz w:val="22"/>
      <w:szCs w:val="22"/>
      <w:lang w:val="en-US" w:eastAsia="en-US" w:bidi="ar-SA"/>
    </w:rPr>
  </w:style>
  <w:style w:type="paragraph" w:customStyle="1" w:styleId="141">
    <w:name w:val="Normal_31"/>
    <w:qFormat/>
    <w:uiPriority w:val="0"/>
    <w:pPr>
      <w:spacing w:before="120" w:after="240"/>
      <w:jc w:val="both"/>
    </w:pPr>
    <w:rPr>
      <w:rFonts w:ascii="Calibri" w:hAnsi="Calibri" w:eastAsia="Calibri" w:cs="Times New Roman"/>
      <w:sz w:val="22"/>
      <w:szCs w:val="22"/>
      <w:lang w:val="en-US" w:eastAsia="en-US" w:bidi="ar-SA"/>
    </w:rPr>
  </w:style>
  <w:style w:type="paragraph" w:customStyle="1" w:styleId="142">
    <w:name w:val="Normal_47"/>
    <w:qFormat/>
    <w:uiPriority w:val="0"/>
    <w:pPr>
      <w:spacing w:before="120" w:after="240"/>
      <w:jc w:val="both"/>
    </w:pPr>
    <w:rPr>
      <w:rFonts w:ascii="Calibri" w:hAnsi="Calibri" w:eastAsia="Calibri" w:cs="Times New Roman"/>
      <w:sz w:val="22"/>
      <w:szCs w:val="22"/>
      <w:lang w:val="en-US" w:eastAsia="en-US" w:bidi="ar-SA"/>
    </w:rPr>
  </w:style>
  <w:style w:type="paragraph" w:customStyle="1" w:styleId="143">
    <w:name w:val="Normal_48"/>
    <w:qFormat/>
    <w:uiPriority w:val="0"/>
    <w:pPr>
      <w:spacing w:before="120" w:after="240"/>
      <w:jc w:val="both"/>
    </w:pPr>
    <w:rPr>
      <w:rFonts w:ascii="Calibri" w:hAnsi="Calibri" w:eastAsia="Calibri" w:cs="Times New Roman"/>
      <w:sz w:val="22"/>
      <w:szCs w:val="22"/>
      <w:lang w:val="en-US" w:eastAsia="en-US" w:bidi="ar-SA"/>
    </w:rPr>
  </w:style>
  <w:style w:type="paragraph" w:customStyle="1" w:styleId="144">
    <w:name w:val="Normal_49"/>
    <w:qFormat/>
    <w:uiPriority w:val="0"/>
    <w:pPr>
      <w:spacing w:before="120" w:after="240"/>
      <w:jc w:val="both"/>
    </w:pPr>
    <w:rPr>
      <w:rFonts w:ascii="Calibri" w:hAnsi="Calibri" w:eastAsia="Calibri" w:cs="Times New Roman"/>
      <w:sz w:val="22"/>
      <w:szCs w:val="22"/>
      <w:lang w:val="en-US" w:eastAsia="en-US" w:bidi="ar-SA"/>
    </w:rPr>
  </w:style>
  <w:style w:type="paragraph" w:customStyle="1" w:styleId="145">
    <w:name w:val="Normal_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46">
    <w:name w:val="Normal_1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47">
    <w:name w:val="Normal_2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48">
    <w:name w:val="Normal_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49">
    <w:name w:val="Normal_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50">
    <w:name w:val="Normal_5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51">
    <w:name w:val="Normal_6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52">
    <w:name w:val="Normal_7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53">
    <w:name w:val="Normal_8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54">
    <w:name w:val="Normal_9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55">
    <w:name w:val="Normal_1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56">
    <w:name w:val="Normal_11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57">
    <w:name w:val="Normal_12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58">
    <w:name w:val="Normal_1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59">
    <w:name w:val="Normal_1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0">
    <w:name w:val="Normal_15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1">
    <w:name w:val="Normal_16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2">
    <w:name w:val="Normal_17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3">
    <w:name w:val="Normal_18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4">
    <w:name w:val="Normal_19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5">
    <w:name w:val="Normal_2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6">
    <w:name w:val="Normal_2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7">
    <w:name w:val="Normal_2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8">
    <w:name w:val="Normal_28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9">
    <w:name w:val="Normal_29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0">
    <w:name w:val="Normal_3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1">
    <w:name w:val="Normal_3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2">
    <w:name w:val="Normal_35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3">
    <w:name w:val="Normal_4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4">
    <w:name w:val="Normal_45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5">
    <w:name w:val="Normal_1_1"/>
    <w:qFormat/>
    <w:uiPriority w:val="0"/>
    <w:pPr>
      <w:spacing w:before="120" w:after="240"/>
      <w:jc w:val="both"/>
    </w:pPr>
    <w:rPr>
      <w:rFonts w:ascii="Calibri" w:hAnsi="Calibri" w:eastAsia="Calibri" w:cs="Times New Roman"/>
      <w:sz w:val="22"/>
      <w:szCs w:val="22"/>
      <w:lang w:val="en-US" w:eastAsia="en-US" w:bidi="ar-SA"/>
    </w:rPr>
  </w:style>
  <w:style w:type="paragraph" w:customStyle="1" w:styleId="176">
    <w:name w:val="Normal_21"/>
    <w:qFormat/>
    <w:uiPriority w:val="0"/>
    <w:pPr>
      <w:spacing w:before="120" w:after="240"/>
      <w:jc w:val="both"/>
    </w:pPr>
    <w:rPr>
      <w:rFonts w:ascii="Calibri" w:hAnsi="Calibri" w:eastAsia="Calibri" w:cs="Times New Roman"/>
      <w:sz w:val="22"/>
      <w:szCs w:val="22"/>
      <w:lang w:val="en-US" w:eastAsia="en-US" w:bidi="ar-SA"/>
    </w:rPr>
  </w:style>
  <w:style w:type="paragraph" w:customStyle="1" w:styleId="177">
    <w:name w:val="Normal_22"/>
    <w:qFormat/>
    <w:uiPriority w:val="0"/>
    <w:pPr>
      <w:spacing w:before="120" w:after="240"/>
      <w:jc w:val="both"/>
    </w:pPr>
    <w:rPr>
      <w:rFonts w:ascii="Calibri" w:hAnsi="Calibri" w:eastAsia="Calibri" w:cs="Times New Roman"/>
      <w:sz w:val="22"/>
      <w:szCs w:val="22"/>
      <w:lang w:val="en-US" w:eastAsia="en-US" w:bidi="ar-SA"/>
    </w:rPr>
  </w:style>
  <w:style w:type="paragraph" w:customStyle="1" w:styleId="178">
    <w:name w:val="Normal_23"/>
    <w:qFormat/>
    <w:uiPriority w:val="0"/>
    <w:pPr>
      <w:spacing w:before="120" w:after="240"/>
      <w:jc w:val="both"/>
    </w:pPr>
    <w:rPr>
      <w:rFonts w:ascii="Calibri" w:hAnsi="Calibri" w:eastAsia="Calibri" w:cs="Times New Roman"/>
      <w:sz w:val="22"/>
      <w:szCs w:val="22"/>
      <w:lang w:val="en-US" w:eastAsia="en-US" w:bidi="ar-SA"/>
    </w:rPr>
  </w:style>
  <w:style w:type="paragraph" w:customStyle="1" w:styleId="179">
    <w:name w:val="Normal_24"/>
    <w:qFormat/>
    <w:uiPriority w:val="0"/>
    <w:pPr>
      <w:spacing w:before="120" w:after="240"/>
      <w:jc w:val="both"/>
    </w:pPr>
    <w:rPr>
      <w:rFonts w:ascii="Calibri" w:hAnsi="Calibri" w:eastAsia="Calibri" w:cs="Times New Roman"/>
      <w:sz w:val="22"/>
      <w:szCs w:val="22"/>
      <w:lang w:val="en-US" w:eastAsia="en-US" w:bidi="ar-SA"/>
    </w:rPr>
  </w:style>
  <w:style w:type="paragraph" w:customStyle="1" w:styleId="180">
    <w:name w:val="Normal_25"/>
    <w:qFormat/>
    <w:uiPriority w:val="0"/>
    <w:pPr>
      <w:spacing w:before="120" w:after="240"/>
      <w:jc w:val="both"/>
    </w:pPr>
    <w:rPr>
      <w:rFonts w:ascii="Calibri" w:hAnsi="Calibri" w:eastAsia="Calibri" w:cs="Times New Roman"/>
      <w:sz w:val="22"/>
      <w:szCs w:val="22"/>
      <w:lang w:val="en-US" w:eastAsia="en-US" w:bidi="ar-SA"/>
    </w:rPr>
  </w:style>
  <w:style w:type="paragraph" w:customStyle="1" w:styleId="181">
    <w:name w:val="Normal_26"/>
    <w:qFormat/>
    <w:uiPriority w:val="0"/>
    <w:pPr>
      <w:spacing w:before="120" w:after="240"/>
      <w:jc w:val="both"/>
    </w:pPr>
    <w:rPr>
      <w:rFonts w:ascii="Calibri" w:hAnsi="Calibri" w:eastAsia="Calibri" w:cs="Times New Roman"/>
      <w:sz w:val="22"/>
      <w:szCs w:val="22"/>
      <w:lang w:val="en-US" w:eastAsia="en-US" w:bidi="ar-SA"/>
    </w:rPr>
  </w:style>
  <w:style w:type="paragraph" w:customStyle="1" w:styleId="182">
    <w:name w:val="Normal_27"/>
    <w:qFormat/>
    <w:uiPriority w:val="0"/>
    <w:pPr>
      <w:spacing w:before="120" w:after="240"/>
      <w:jc w:val="both"/>
    </w:pPr>
    <w:rPr>
      <w:rFonts w:ascii="Calibri" w:hAnsi="Calibri" w:eastAsia="Calibri" w:cs="Times New Roman"/>
      <w:sz w:val="22"/>
      <w:szCs w:val="22"/>
      <w:lang w:val="en-US" w:eastAsia="en-US" w:bidi="ar-SA"/>
    </w:rPr>
  </w:style>
  <w:style w:type="paragraph" w:customStyle="1" w:styleId="183">
    <w:name w:val="Normal_28"/>
    <w:qFormat/>
    <w:uiPriority w:val="0"/>
    <w:pPr>
      <w:spacing w:before="120" w:after="240"/>
      <w:jc w:val="both"/>
    </w:pPr>
    <w:rPr>
      <w:rFonts w:ascii="Calibri" w:hAnsi="Calibri" w:eastAsia="Calibri" w:cs="Times New Roman"/>
      <w:sz w:val="22"/>
      <w:szCs w:val="22"/>
      <w:lang w:val="en-US" w:eastAsia="en-US" w:bidi="ar-SA"/>
    </w:rPr>
  </w:style>
  <w:style w:type="paragraph" w:customStyle="1" w:styleId="184">
    <w:name w:val="Normal_29"/>
    <w:qFormat/>
    <w:uiPriority w:val="0"/>
    <w:pPr>
      <w:spacing w:before="120" w:after="240"/>
      <w:jc w:val="both"/>
    </w:pPr>
    <w:rPr>
      <w:rFonts w:ascii="Calibri" w:hAnsi="Calibri" w:eastAsia="Calibri" w:cs="Times New Roman"/>
      <w:sz w:val="22"/>
      <w:szCs w:val="22"/>
      <w:lang w:val="en-US" w:eastAsia="en-US" w:bidi="ar-SA"/>
    </w:rPr>
  </w:style>
  <w:style w:type="paragraph" w:customStyle="1" w:styleId="185">
    <w:name w:val="Normal_3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6">
    <w:name w:val="Normal_32"/>
    <w:qFormat/>
    <w:uiPriority w:val="0"/>
    <w:pPr>
      <w:spacing w:before="120" w:after="240"/>
      <w:jc w:val="both"/>
    </w:pPr>
    <w:rPr>
      <w:rFonts w:ascii="Calibri" w:hAnsi="Calibri" w:eastAsia="Calibri" w:cs="Times New Roman"/>
      <w:sz w:val="22"/>
      <w:szCs w:val="22"/>
      <w:lang w:val="en-US" w:eastAsia="en-US" w:bidi="ar-SA"/>
    </w:rPr>
  </w:style>
  <w:style w:type="paragraph" w:customStyle="1" w:styleId="187">
    <w:name w:val="Normal_33"/>
    <w:qFormat/>
    <w:uiPriority w:val="0"/>
    <w:pPr>
      <w:spacing w:before="120" w:after="240"/>
      <w:jc w:val="both"/>
    </w:pPr>
    <w:rPr>
      <w:rFonts w:ascii="Calibri" w:hAnsi="Calibri" w:eastAsia="Calibri" w:cs="Times New Roman"/>
      <w:sz w:val="22"/>
      <w:szCs w:val="22"/>
      <w:lang w:val="en-US" w:eastAsia="en-US" w:bidi="ar-SA"/>
    </w:rPr>
  </w:style>
  <w:style w:type="paragraph" w:customStyle="1" w:styleId="188">
    <w:name w:val="Normal_34"/>
    <w:qFormat/>
    <w:uiPriority w:val="0"/>
    <w:pPr>
      <w:spacing w:before="120" w:after="240"/>
      <w:jc w:val="both"/>
    </w:pPr>
    <w:rPr>
      <w:rFonts w:ascii="Calibri" w:hAnsi="Calibri" w:eastAsia="Calibri" w:cs="Times New Roman"/>
      <w:sz w:val="22"/>
      <w:szCs w:val="22"/>
      <w:lang w:val="en-US" w:eastAsia="en-US" w:bidi="ar-SA"/>
    </w:rPr>
  </w:style>
  <w:style w:type="paragraph" w:customStyle="1" w:styleId="189">
    <w:name w:val="Normal_1"/>
    <w:qFormat/>
    <w:uiPriority w:val="0"/>
    <w:pPr>
      <w:spacing w:before="120" w:after="240"/>
      <w:jc w:val="both"/>
    </w:pPr>
    <w:rPr>
      <w:rFonts w:ascii="Calibri" w:hAnsi="Calibri" w:eastAsia="Calibri" w:cs="Times New Roman"/>
      <w:sz w:val="22"/>
      <w:szCs w:val="22"/>
      <w:lang w:val="en-US" w:eastAsia="en-US" w:bidi="ar-SA"/>
    </w:rPr>
  </w:style>
  <w:style w:type="character" w:customStyle="1" w:styleId="190">
    <w:name w:val="页脚 字符"/>
    <w:qFormat/>
    <w:uiPriority w:val="99"/>
  </w:style>
  <w:style w:type="character" w:customStyle="1" w:styleId="191">
    <w:name w:val="font161"/>
    <w:qFormat/>
    <w:uiPriority w:val="0"/>
    <w:rPr>
      <w:b/>
      <w:bCs/>
      <w:sz w:val="32"/>
      <w:szCs w:val="32"/>
    </w:rPr>
  </w:style>
  <w:style w:type="paragraph" w:customStyle="1" w:styleId="192">
    <w:name w:val="Normal_20"/>
    <w:qFormat/>
    <w:uiPriority w:val="0"/>
    <w:pPr>
      <w:spacing w:before="120" w:after="240"/>
      <w:jc w:val="both"/>
    </w:pPr>
    <w:rPr>
      <w:rFonts w:ascii="Calibri" w:hAnsi="Calibri" w:eastAsia="Calibri" w:cs="Times New Roman"/>
      <w:sz w:val="22"/>
      <w:szCs w:val="22"/>
      <w:lang w:val="en-US" w:eastAsia="en-US" w:bidi="ar-SA"/>
    </w:rPr>
  </w:style>
  <w:style w:type="paragraph" w:customStyle="1" w:styleId="193">
    <w:name w:val="Char Char Char Char Char Char"/>
    <w:basedOn w:val="1"/>
    <w:qFormat/>
    <w:uiPriority w:val="0"/>
    <w:pPr>
      <w:autoSpaceDE/>
      <w:autoSpaceDN/>
      <w:adjustRightInd/>
      <w:jc w:val="both"/>
    </w:pPr>
    <w:rPr>
      <w:rFonts w:eastAsia="宋体"/>
      <w:kern w:val="2"/>
      <w:sz w:val="21"/>
    </w:rPr>
  </w:style>
  <w:style w:type="paragraph" w:customStyle="1" w:styleId="194">
    <w:name w:val="_Style 18"/>
    <w:qFormat/>
    <w:uiPriority w:val="0"/>
    <w:pPr>
      <w:widowControl w:val="0"/>
      <w:spacing w:before="260" w:after="260"/>
      <w:jc w:val="both"/>
    </w:pPr>
    <w:rPr>
      <w:rFonts w:ascii="Times New Roman" w:hAnsi="Times New Roman" w:eastAsia="宋体" w:cs="Times New Roman"/>
      <w:kern w:val="2"/>
      <w:sz w:val="21"/>
      <w:lang w:val="en-US" w:eastAsia="zh-CN" w:bidi="ar-SA"/>
    </w:rPr>
  </w:style>
  <w:style w:type="paragraph" w:customStyle="1" w:styleId="195">
    <w:name w:val="修订11"/>
    <w:qFormat/>
    <w:uiPriority w:val="0"/>
    <w:pPr>
      <w:spacing w:before="260" w:after="260"/>
      <w:jc w:val="both"/>
    </w:pPr>
    <w:rPr>
      <w:rFonts w:ascii="Times New Roman" w:hAnsi="Times New Roman" w:eastAsia="宋体" w:cs="Times New Roman"/>
      <w:kern w:val="2"/>
      <w:sz w:val="21"/>
      <w:lang w:val="en-US" w:eastAsia="zh-CN" w:bidi="ar-SA"/>
    </w:rPr>
  </w:style>
  <w:style w:type="paragraph" w:customStyle="1" w:styleId="196">
    <w:name w:val="TOC 标题11"/>
    <w:basedOn w:val="3"/>
    <w:next w:val="1"/>
    <w:qFormat/>
    <w:uiPriority w:val="39"/>
    <w:pPr>
      <w:keepNext/>
      <w:keepLines/>
      <w:widowControl/>
      <w:autoSpaceDE/>
      <w:autoSpaceDN/>
      <w:adjustRightInd/>
      <w:snapToGrid/>
      <w:spacing w:before="480" w:afterLines="50" w:line="276" w:lineRule="auto"/>
      <w:jc w:val="left"/>
      <w:outlineLvl w:val="9"/>
    </w:pPr>
    <w:rPr>
      <w:rFonts w:ascii="Cambria" w:hAnsi="Cambria" w:eastAsia="宋体" w:cs="Times New Roman"/>
      <w:bCs/>
      <w:color w:val="365F91"/>
      <w:sz w:val="28"/>
      <w:szCs w:val="28"/>
    </w:rPr>
  </w:style>
  <w:style w:type="character" w:customStyle="1" w:styleId="197">
    <w:name w:val="HTML 预设格式 Char"/>
    <w:basedOn w:val="50"/>
    <w:link w:val="42"/>
    <w:semiHidden/>
    <w:qFormat/>
    <w:uiPriority w:val="99"/>
    <w:rPr>
      <w:rFonts w:ascii="宋体" w:hAnsi="宋体" w:eastAsia="宋体" w:cs="宋体"/>
      <w:kern w:val="0"/>
      <w:sz w:val="24"/>
      <w:szCs w:val="24"/>
    </w:rPr>
  </w:style>
  <w:style w:type="character" w:customStyle="1" w:styleId="198">
    <w:name w:val="页脚 字符2"/>
    <w:basedOn w:val="50"/>
    <w:qFormat/>
    <w:uiPriority w:val="0"/>
    <w:rPr>
      <w:sz w:val="18"/>
      <w:szCs w:val="18"/>
    </w:rPr>
  </w:style>
  <w:style w:type="paragraph" w:customStyle="1" w:styleId="199">
    <w:name w:val="样式 标题A + 段后: 0.5 行"/>
    <w:basedOn w:val="1"/>
    <w:qFormat/>
    <w:uiPriority w:val="0"/>
    <w:pPr>
      <w:autoSpaceDE/>
      <w:autoSpaceDN/>
      <w:adjustRightInd/>
      <w:spacing w:before="120" w:afterLines="30" w:line="360" w:lineRule="auto"/>
      <w:jc w:val="center"/>
    </w:pPr>
    <w:rPr>
      <w:rFonts w:eastAsia="黑体" w:cs="宋体"/>
      <w:kern w:val="2"/>
      <w:szCs w:val="20"/>
    </w:rPr>
  </w:style>
  <w:style w:type="character" w:customStyle="1" w:styleId="200">
    <w:name w:val="样式 标题 5 + Times New Roman Char"/>
    <w:basedOn w:val="50"/>
    <w:qFormat/>
    <w:uiPriority w:val="0"/>
    <w:rPr>
      <w:rFonts w:ascii="宋体" w:hAnsi="宋体" w:eastAsia="宋体"/>
      <w:bCs/>
      <w:kern w:val="2"/>
      <w:sz w:val="24"/>
      <w:szCs w:val="28"/>
      <w:lang w:val="en-US" w:eastAsia="zh-CN" w:bidi="he-IL"/>
    </w:rPr>
  </w:style>
  <w:style w:type="paragraph" w:customStyle="1" w:styleId="201">
    <w:name w:val="批注主题1"/>
    <w:basedOn w:val="17"/>
    <w:next w:val="17"/>
    <w:qFormat/>
    <w:uiPriority w:val="0"/>
    <w:pPr>
      <w:adjustRightInd w:val="0"/>
      <w:spacing w:line="360" w:lineRule="auto"/>
      <w:ind w:firstLine="482"/>
      <w:textAlignment w:val="baseline"/>
    </w:pPr>
    <w:rPr>
      <w:rFonts w:ascii="Times New Roman" w:hAnsi="Times New Roman"/>
      <w:b/>
      <w:bCs/>
      <w:kern w:val="0"/>
      <w:sz w:val="24"/>
      <w:szCs w:val="20"/>
    </w:rPr>
  </w:style>
  <w:style w:type="paragraph" w:customStyle="1" w:styleId="202">
    <w:name w:val="标题 21"/>
    <w:basedOn w:val="1"/>
    <w:next w:val="1"/>
    <w:qFormat/>
    <w:uiPriority w:val="0"/>
    <w:pPr>
      <w:keepNext/>
      <w:keepLines/>
      <w:tabs>
        <w:tab w:val="left" w:pos="851"/>
      </w:tabs>
      <w:autoSpaceDE/>
      <w:autoSpaceDN/>
      <w:spacing w:before="180" w:after="180"/>
      <w:ind w:left="851" w:hanging="851"/>
      <w:jc w:val="both"/>
      <w:textAlignment w:val="baseline"/>
      <w:outlineLvl w:val="1"/>
    </w:pPr>
    <w:rPr>
      <w:rFonts w:ascii="宋体" w:hAnsi="Arial" w:eastAsia="宋体"/>
      <w:b/>
      <w:sz w:val="28"/>
      <w:szCs w:val="20"/>
    </w:rPr>
  </w:style>
  <w:style w:type="paragraph" w:customStyle="1" w:styleId="203">
    <w:name w:val="A标题3"/>
    <w:basedOn w:val="1"/>
    <w:next w:val="1"/>
    <w:qFormat/>
    <w:uiPriority w:val="0"/>
    <w:pPr>
      <w:keepNext/>
      <w:keepLines/>
      <w:autoSpaceDE/>
      <w:autoSpaceDN/>
      <w:spacing w:line="360" w:lineRule="auto"/>
      <w:ind w:left="118" w:firstLine="482"/>
      <w:jc w:val="both"/>
      <w:textAlignment w:val="baseline"/>
    </w:pPr>
    <w:rPr>
      <w:rFonts w:eastAsia="宋体"/>
      <w:szCs w:val="20"/>
    </w:rPr>
  </w:style>
  <w:style w:type="paragraph" w:customStyle="1" w:styleId="204">
    <w:name w:val="A标题4"/>
    <w:basedOn w:val="1"/>
    <w:next w:val="1"/>
    <w:qFormat/>
    <w:uiPriority w:val="0"/>
    <w:pPr>
      <w:keepNext/>
      <w:keepLines/>
      <w:tabs>
        <w:tab w:val="left" w:pos="1197"/>
      </w:tabs>
      <w:autoSpaceDE/>
      <w:autoSpaceDN/>
      <w:adjustRightInd/>
      <w:spacing w:after="80" w:line="360" w:lineRule="auto"/>
      <w:ind w:left="1197" w:hanging="851"/>
      <w:jc w:val="both"/>
      <w:outlineLvl w:val="3"/>
    </w:pPr>
    <w:rPr>
      <w:rFonts w:eastAsia="宋体"/>
      <w:szCs w:val="20"/>
    </w:rPr>
  </w:style>
  <w:style w:type="paragraph" w:customStyle="1" w:styleId="205">
    <w:name w:val="Char Char Char Char"/>
    <w:basedOn w:val="1"/>
    <w:qFormat/>
    <w:uiPriority w:val="0"/>
    <w:pPr>
      <w:autoSpaceDE/>
      <w:autoSpaceDN/>
      <w:adjustRightInd/>
      <w:snapToGrid w:val="0"/>
      <w:spacing w:line="360" w:lineRule="auto"/>
      <w:jc w:val="both"/>
    </w:pPr>
    <w:rPr>
      <w:rFonts w:eastAsia="仿宋_GB2312"/>
      <w:kern w:val="2"/>
    </w:rPr>
  </w:style>
  <w:style w:type="character" w:customStyle="1" w:styleId="206">
    <w:name w:val="正  文 Char Char"/>
    <w:link w:val="207"/>
    <w:qFormat/>
    <w:uiPriority w:val="0"/>
    <w:rPr>
      <w:sz w:val="24"/>
      <w:szCs w:val="28"/>
    </w:rPr>
  </w:style>
  <w:style w:type="paragraph" w:customStyle="1" w:styleId="207">
    <w:name w:val="正  文"/>
    <w:basedOn w:val="1"/>
    <w:link w:val="206"/>
    <w:qFormat/>
    <w:uiPriority w:val="0"/>
    <w:pPr>
      <w:autoSpaceDE/>
      <w:autoSpaceDN/>
      <w:adjustRightInd/>
      <w:ind w:firstLine="200" w:firstLineChars="200"/>
      <w:jc w:val="both"/>
      <w:textAlignment w:val="baseline"/>
    </w:pPr>
    <w:rPr>
      <w:rFonts w:asciiTheme="minorHAnsi" w:hAnsiTheme="minorHAnsi"/>
      <w:kern w:val="2"/>
      <w:szCs w:val="28"/>
    </w:rPr>
  </w:style>
  <w:style w:type="paragraph" w:customStyle="1" w:styleId="208">
    <w:name w:val="Body Text 21"/>
    <w:basedOn w:val="1"/>
    <w:qFormat/>
    <w:uiPriority w:val="0"/>
    <w:pPr>
      <w:adjustRightInd/>
      <w:spacing w:line="360" w:lineRule="auto"/>
      <w:ind w:left="840"/>
      <w:jc w:val="both"/>
    </w:pPr>
    <w:rPr>
      <w:rFonts w:ascii="Calibri" w:hAnsi="Calibri" w:eastAsia="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50C88A-D9DB-4F11-88BD-2AC2B80E974C}">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4055</Words>
  <Characters>23116</Characters>
  <Lines>192</Lines>
  <Paragraphs>54</Paragraphs>
  <TotalTime>12</TotalTime>
  <ScaleCrop>false</ScaleCrop>
  <LinksUpToDate>false</LinksUpToDate>
  <CharactersWithSpaces>27117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2021-12-13T07:57:00Z</dcterms:created>
  <dc:creator>袁静</dc:creator>
  <cp:lastModifiedBy>NT</cp:lastModifiedBy>
  <dcterms:modified xsi:type="dcterms:W3CDTF">2022-02-16T01:51:29Z</dcterms:modified>
  <dc:title>中华人民共和国</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359A59BFD1D749589C72324CF585DD00</vt:lpwstr>
  </property>
</Properties>
</file>