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Pr>
        <w:spacing w:line="360" w:lineRule="auto"/>
        <w:rPr>
          <w:rFonts w:ascii="宋体" w:hAnsi="宋体" w:cs="宋体"/>
          <w:kern w:val="0"/>
          <w:sz w:val="30"/>
          <w:szCs w:val="30"/>
        </w:rPr>
      </w:pPr>
      <w:r>
        <w:rPr>
          <w:rFonts w:hint="eastAsia" w:ascii="宋体" w:hAnsi="宋体" w:cs="宋体"/>
          <w:kern w:val="0"/>
          <w:sz w:val="30"/>
          <w:szCs w:val="30"/>
        </w:rPr>
        <w:t xml:space="preserve">招标编号：PZH-JS-QT-202 </w:t>
      </w:r>
    </w:p>
    <w:p>
      <w:pPr>
        <w:spacing w:line="360" w:lineRule="auto"/>
        <w:jc w:val="center"/>
        <w:rPr>
          <w:rFonts w:ascii="宋体" w:hAnsi="宋体" w:cs="宋体"/>
          <w:sz w:val="32"/>
          <w:szCs w:val="32"/>
        </w:rPr>
      </w:pPr>
    </w:p>
    <w:p>
      <w:pPr>
        <w:pStyle w:val="14"/>
        <w:rPr>
          <w:rFonts w:ascii="宋体" w:hAnsi="宋体" w:eastAsia="宋体" w:cs="宋体"/>
        </w:rPr>
      </w:pPr>
    </w:p>
    <w:p>
      <w:pPr>
        <w:pStyle w:val="18"/>
        <w:widowControl w:val="0"/>
        <w:spacing w:before="0" w:after="0" w:line="360" w:lineRule="auto"/>
        <w:ind w:firstLine="146" w:firstLineChars="28"/>
        <w:jc w:val="center"/>
        <w:rPr>
          <w:rFonts w:hint="eastAsia" w:hAnsi="宋体" w:cs="宋体"/>
          <w:b/>
          <w:bCs/>
          <w:sz w:val="52"/>
          <w:szCs w:val="52"/>
          <w:lang w:val="en-US" w:eastAsia="zh-CN"/>
        </w:rPr>
      </w:pPr>
      <w:r>
        <w:rPr>
          <w:rFonts w:hint="eastAsia" w:hAnsi="宋体" w:cs="宋体"/>
          <w:b/>
          <w:bCs/>
          <w:sz w:val="52"/>
          <w:szCs w:val="52"/>
          <w:lang w:val="en-US" w:eastAsia="zh-CN"/>
        </w:rPr>
        <w:t>四川省能投攀枝花水电开发有限公司</w:t>
      </w:r>
    </w:p>
    <w:p>
      <w:pPr>
        <w:pStyle w:val="18"/>
        <w:widowControl w:val="0"/>
        <w:spacing w:before="0" w:after="0" w:line="360" w:lineRule="auto"/>
        <w:ind w:firstLine="146" w:firstLineChars="28"/>
        <w:jc w:val="center"/>
        <w:rPr>
          <w:rFonts w:hAnsi="宋体" w:cs="宋体"/>
          <w:sz w:val="52"/>
          <w:szCs w:val="52"/>
        </w:rPr>
      </w:pPr>
      <w:r>
        <w:rPr>
          <w:rFonts w:hint="eastAsia" w:hAnsi="宋体" w:cs="宋体"/>
          <w:b/>
          <w:bCs/>
          <w:sz w:val="52"/>
          <w:szCs w:val="52"/>
          <w:lang w:val="en-US" w:eastAsia="zh-CN"/>
        </w:rPr>
        <w:t>营地及电厂</w:t>
      </w:r>
      <w:r>
        <w:rPr>
          <w:rFonts w:hint="eastAsia" w:hAnsi="宋体" w:cs="宋体"/>
          <w:b/>
          <w:bCs/>
          <w:sz w:val="52"/>
          <w:szCs w:val="52"/>
        </w:rPr>
        <w:t>物业服务</w:t>
      </w:r>
    </w:p>
    <w:p>
      <w:pPr>
        <w:pStyle w:val="18"/>
        <w:widowControl w:val="0"/>
        <w:spacing w:before="0" w:after="0" w:line="360" w:lineRule="auto"/>
        <w:ind w:firstLine="145" w:firstLineChars="28"/>
        <w:jc w:val="center"/>
        <w:rPr>
          <w:rFonts w:hAnsi="宋体" w:cs="宋体"/>
          <w:sz w:val="52"/>
          <w:szCs w:val="52"/>
        </w:rPr>
      </w:pPr>
    </w:p>
    <w:p>
      <w:pPr>
        <w:pStyle w:val="18"/>
        <w:widowControl w:val="0"/>
        <w:spacing w:before="0" w:after="0" w:line="360" w:lineRule="auto"/>
        <w:ind w:firstLine="201" w:firstLineChars="28"/>
        <w:jc w:val="center"/>
        <w:rPr>
          <w:rFonts w:hAnsi="宋体" w:cs="宋体"/>
          <w:color w:val="000000"/>
          <w:sz w:val="72"/>
          <w:szCs w:val="72"/>
        </w:rPr>
      </w:pPr>
      <w:r>
        <w:rPr>
          <w:rFonts w:hint="eastAsia" w:hAnsi="宋体" w:cs="宋体"/>
          <w:color w:val="000000"/>
          <w:sz w:val="72"/>
          <w:szCs w:val="72"/>
        </w:rPr>
        <w:t>招标文件</w:t>
      </w:r>
    </w:p>
    <w:p>
      <w:pPr>
        <w:adjustRightInd w:val="0"/>
        <w:snapToGrid w:val="0"/>
        <w:spacing w:line="360" w:lineRule="auto"/>
        <w:jc w:val="center"/>
        <w:rPr>
          <w:rFonts w:ascii="宋体" w:hAnsi="宋体" w:cs="宋体"/>
          <w:spacing w:val="20"/>
          <w:sz w:val="72"/>
          <w:szCs w:val="72"/>
        </w:rPr>
      </w:pPr>
    </w:p>
    <w:p>
      <w:pPr>
        <w:adjustRightInd w:val="0"/>
        <w:snapToGrid w:val="0"/>
        <w:spacing w:line="360" w:lineRule="auto"/>
        <w:jc w:val="center"/>
        <w:rPr>
          <w:rFonts w:ascii="宋体" w:hAnsi="宋体" w:cs="宋体"/>
          <w:spacing w:val="20"/>
          <w:sz w:val="72"/>
          <w:szCs w:val="72"/>
        </w:rPr>
      </w:pPr>
    </w:p>
    <w:p>
      <w:pPr>
        <w:adjustRightInd w:val="0"/>
        <w:snapToGrid w:val="0"/>
        <w:spacing w:line="360" w:lineRule="auto"/>
        <w:jc w:val="center"/>
        <w:rPr>
          <w:rFonts w:ascii="宋体" w:hAnsi="宋体" w:cs="宋体"/>
          <w:spacing w:val="20"/>
          <w:sz w:val="72"/>
          <w:szCs w:val="72"/>
        </w:rPr>
      </w:pPr>
    </w:p>
    <w:p>
      <w:pPr>
        <w:pStyle w:val="18"/>
        <w:widowControl w:val="0"/>
        <w:spacing w:before="0" w:after="0" w:line="360" w:lineRule="auto"/>
        <w:ind w:firstLine="0" w:firstLineChars="0"/>
        <w:rPr>
          <w:rFonts w:hAnsi="宋体" w:cs="宋体"/>
          <w:bCs/>
          <w:color w:val="000000"/>
          <w:sz w:val="36"/>
          <w:szCs w:val="36"/>
        </w:rPr>
      </w:pPr>
      <w:r>
        <w:rPr>
          <w:rFonts w:hint="eastAsia" w:ascii="宋体" w:hAnsi="宋体" w:cs="宋体"/>
          <w:spacing w:val="20"/>
          <w:sz w:val="72"/>
          <w:szCs w:val="72"/>
        </w:rPr>
        <w:t xml:space="preserve">    </w:t>
      </w:r>
      <w:r>
        <w:rPr>
          <w:rFonts w:hint="eastAsia" w:hAnsi="宋体" w:cs="宋体"/>
          <w:bCs/>
          <w:color w:val="000000"/>
          <w:sz w:val="36"/>
          <w:szCs w:val="36"/>
        </w:rPr>
        <w:t>招标人：四川省能投攀枝花水电开发有限公司</w:t>
      </w:r>
    </w:p>
    <w:p>
      <w:pPr>
        <w:pStyle w:val="18"/>
        <w:widowControl w:val="0"/>
        <w:spacing w:before="0" w:after="0" w:line="360" w:lineRule="auto"/>
        <w:ind w:firstLine="0" w:firstLineChars="0"/>
        <w:rPr>
          <w:rFonts w:hAnsi="宋体" w:cs="宋体"/>
          <w:bCs/>
          <w:color w:val="000000"/>
          <w:sz w:val="36"/>
          <w:szCs w:val="36"/>
        </w:rPr>
      </w:pPr>
      <w:r>
        <w:rPr>
          <w:rFonts w:hint="eastAsia" w:hAnsi="宋体" w:cs="宋体"/>
          <w:bCs/>
          <w:color w:val="000000"/>
          <w:sz w:val="36"/>
          <w:szCs w:val="36"/>
        </w:rPr>
        <w:t xml:space="preserve">         日  期：202</w:t>
      </w:r>
      <w:r>
        <w:rPr>
          <w:rFonts w:hint="eastAsia" w:hAnsi="宋体" w:cs="宋体"/>
          <w:bCs/>
          <w:color w:val="000000"/>
          <w:sz w:val="36"/>
          <w:szCs w:val="36"/>
          <w:lang w:val="en-US" w:eastAsia="zh-CN"/>
        </w:rPr>
        <w:t>1</w:t>
      </w:r>
      <w:r>
        <w:rPr>
          <w:rFonts w:hint="eastAsia" w:hAnsi="宋体" w:cs="宋体"/>
          <w:bCs/>
          <w:color w:val="000000"/>
          <w:sz w:val="36"/>
          <w:szCs w:val="36"/>
        </w:rPr>
        <w:t>年</w:t>
      </w:r>
      <w:r>
        <w:rPr>
          <w:rFonts w:hint="eastAsia" w:hAnsi="宋体" w:cs="宋体"/>
          <w:bCs/>
          <w:color w:val="000000"/>
          <w:sz w:val="36"/>
          <w:szCs w:val="36"/>
          <w:lang w:val="en-US" w:eastAsia="zh-CN"/>
        </w:rPr>
        <w:t>3</w:t>
      </w:r>
      <w:r>
        <w:rPr>
          <w:rFonts w:hint="eastAsia" w:hAnsi="宋体" w:cs="宋体"/>
          <w:bCs/>
          <w:color w:val="000000"/>
          <w:sz w:val="36"/>
          <w:szCs w:val="36"/>
        </w:rPr>
        <w:t>月</w:t>
      </w:r>
    </w:p>
    <w:p>
      <w:pPr>
        <w:jc w:val="center"/>
        <w:rPr>
          <w:rFonts w:ascii="宋体" w:hAnsi="宋体" w:cs="宋体"/>
          <w:b/>
          <w:bCs/>
          <w:sz w:val="32"/>
          <w:szCs w:val="32"/>
        </w:rPr>
        <w:sectPr>
          <w:headerReference r:id="rId4" w:type="first"/>
          <w:headerReference r:id="rId3" w:type="default"/>
          <w:footerReference r:id="rId5" w:type="default"/>
          <w:footerReference r:id="rId6" w:type="even"/>
          <w:pgSz w:w="11906" w:h="16838"/>
          <w:pgMar w:top="1440" w:right="1080" w:bottom="1440" w:left="1080" w:header="851" w:footer="851" w:gutter="57"/>
          <w:pgNumType w:start="1"/>
          <w:cols w:space="720" w:num="1"/>
          <w:docGrid w:type="lines" w:linePitch="332" w:charSpace="-4916"/>
        </w:sectPr>
      </w:pPr>
    </w:p>
    <w:p>
      <w:pPr>
        <w:spacing w:before="0" w:after="0" w:line="240" w:lineRule="auto"/>
        <w:jc w:val="center"/>
        <w:rPr>
          <w:rFonts w:ascii="宋体" w:hAnsi="宋体" w:cs="宋体"/>
          <w:b/>
          <w:bCs/>
          <w:sz w:val="28"/>
          <w:szCs w:val="28"/>
        </w:rPr>
      </w:pPr>
    </w:p>
    <w:p>
      <w:pPr>
        <w:widowControl w:val="0"/>
        <w:tabs>
          <w:tab w:val="left" w:pos="561"/>
        </w:tabs>
        <w:topLinePunct/>
        <w:adjustRightInd w:val="0"/>
        <w:snapToGrid w:val="0"/>
        <w:spacing w:before="0" w:after="0" w:line="360" w:lineRule="auto"/>
        <w:jc w:val="center"/>
        <w:textAlignment w:val="center"/>
        <w:rPr>
          <w:rFonts w:ascii="宋体" w:hAnsi="宋体" w:cs="宋体"/>
          <w:kern w:val="0"/>
          <w:sz w:val="44"/>
          <w:szCs w:val="28"/>
        </w:rPr>
      </w:pPr>
      <w:r>
        <w:rPr>
          <w:rFonts w:hint="eastAsia" w:ascii="宋体" w:hAnsi="宋体" w:cs="宋体"/>
          <w:kern w:val="0"/>
          <w:sz w:val="44"/>
          <w:szCs w:val="28"/>
        </w:rPr>
        <w:t>目录</w:t>
      </w:r>
    </w:p>
    <w:p>
      <w:pPr>
        <w:pStyle w:val="2"/>
        <w:tabs>
          <w:tab w:val="right" w:leader="dot" w:pos="9027"/>
          <w:tab w:val="clear" w:pos="9003"/>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TOC \o "1-2" \h \z </w:instrText>
      </w:r>
      <w:r>
        <w:rPr>
          <w:rFonts w:hint="eastAsia" w:ascii="宋体" w:hAnsi="宋体" w:cs="宋体"/>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_Toc26751 </w:instrText>
      </w:r>
      <w:r>
        <w:rPr>
          <w:rFonts w:hint="eastAsia" w:ascii="宋体" w:hAnsi="宋体" w:cs="宋体"/>
          <w:sz w:val="28"/>
          <w:szCs w:val="28"/>
        </w:rPr>
        <w:fldChar w:fldCharType="separate"/>
      </w:r>
      <w:r>
        <w:rPr>
          <w:rFonts w:hint="eastAsia" w:ascii="宋体" w:hAnsi="宋体" w:cs="宋体"/>
          <w:bCs w:val="0"/>
          <w:kern w:val="0"/>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_Toc26751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
        <w:tabs>
          <w:tab w:val="right" w:leader="dot" w:pos="9027"/>
          <w:tab w:val="clear" w:pos="9003"/>
        </w:tabs>
        <w:rPr>
          <w:rFonts w:ascii="宋体" w:hAnsi="宋体" w:cs="宋体"/>
          <w:sz w:val="28"/>
          <w:szCs w:val="28"/>
        </w:rPr>
      </w:pPr>
      <w:r>
        <w:fldChar w:fldCharType="begin"/>
      </w:r>
      <w:r>
        <w:instrText xml:space="preserve">HYPERLINK  \l "_Toc8760" </w:instrText>
      </w:r>
      <w:r>
        <w:fldChar w:fldCharType="separate"/>
      </w:r>
      <w:r>
        <w:rPr>
          <w:rFonts w:hint="eastAsia" w:ascii="宋体" w:hAnsi="宋体" w:cs="宋体"/>
          <w:sz w:val="28"/>
          <w:szCs w:val="28"/>
        </w:rPr>
        <w:t>第二章 投标人须知</w:t>
      </w:r>
      <w:r>
        <w:rPr>
          <w:rFonts w:hint="eastAsia" w:ascii="宋体" w:hAnsi="宋体" w:cs="宋体"/>
          <w:sz w:val="28"/>
          <w:szCs w:val="28"/>
        </w:rPr>
        <w:tab/>
      </w:r>
      <w:r>
        <w:fldChar w:fldCharType="end"/>
      </w:r>
      <w:r>
        <w:rPr>
          <w:rFonts w:hint="eastAsia" w:ascii="宋体" w:hAnsi="宋体" w:cs="宋体"/>
          <w:sz w:val="28"/>
          <w:szCs w:val="28"/>
        </w:rPr>
        <w:t>6</w:t>
      </w:r>
    </w:p>
    <w:p>
      <w:pPr>
        <w:pStyle w:val="2"/>
        <w:tabs>
          <w:tab w:val="right" w:leader="dot" w:pos="9027"/>
          <w:tab w:val="clear" w:pos="9003"/>
        </w:tabs>
        <w:rPr>
          <w:rFonts w:ascii="宋体" w:hAnsi="宋体" w:cs="宋体"/>
          <w:sz w:val="28"/>
          <w:szCs w:val="28"/>
        </w:rPr>
      </w:pPr>
      <w:r>
        <w:fldChar w:fldCharType="begin"/>
      </w:r>
      <w:r>
        <w:instrText xml:space="preserve">HYPERLINK  \l "_Toc9187" </w:instrText>
      </w:r>
      <w:r>
        <w:fldChar w:fldCharType="separate"/>
      </w:r>
      <w:r>
        <w:rPr>
          <w:rFonts w:hint="eastAsia" w:ascii="宋体" w:hAnsi="宋体" w:cs="宋体"/>
          <w:sz w:val="28"/>
          <w:szCs w:val="28"/>
        </w:rPr>
        <w:t>第三章 评标办法</w:t>
      </w:r>
      <w:r>
        <w:rPr>
          <w:rFonts w:hint="eastAsia" w:ascii="宋体" w:hAnsi="宋体" w:cs="宋体"/>
          <w:sz w:val="28"/>
          <w:szCs w:val="28"/>
        </w:rPr>
        <w:tab/>
      </w:r>
      <w:r>
        <w:fldChar w:fldCharType="end"/>
      </w:r>
      <w:r>
        <w:rPr>
          <w:rFonts w:hint="eastAsia" w:ascii="宋体" w:hAnsi="宋体" w:cs="宋体"/>
          <w:sz w:val="28"/>
          <w:szCs w:val="28"/>
        </w:rPr>
        <w:t>17</w:t>
      </w:r>
    </w:p>
    <w:p>
      <w:pPr>
        <w:pStyle w:val="2"/>
        <w:tabs>
          <w:tab w:val="right" w:leader="dot" w:pos="9027"/>
          <w:tab w:val="clear" w:pos="9003"/>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_Toc28324 </w:instrText>
      </w:r>
      <w:r>
        <w:rPr>
          <w:rFonts w:hint="eastAsia" w:ascii="宋体" w:hAnsi="宋体" w:cs="宋体"/>
          <w:sz w:val="28"/>
          <w:szCs w:val="28"/>
        </w:rPr>
        <w:fldChar w:fldCharType="separate"/>
      </w:r>
      <w:r>
        <w:rPr>
          <w:rFonts w:hint="eastAsia" w:ascii="宋体" w:hAnsi="宋体" w:cs="宋体"/>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_Toc28324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fldChar w:fldCharType="end"/>
      </w:r>
    </w:p>
    <w:p>
      <w:pPr>
        <w:pStyle w:val="2"/>
        <w:tabs>
          <w:tab w:val="right" w:leader="dot" w:pos="9027"/>
          <w:tab w:val="clear" w:pos="9003"/>
        </w:tabs>
        <w:rPr>
          <w:rFonts w:ascii="宋体" w:hAnsi="宋体" w:cs="宋体"/>
          <w:sz w:val="28"/>
          <w:szCs w:val="28"/>
        </w:rPr>
      </w:pPr>
      <w:r>
        <w:fldChar w:fldCharType="begin"/>
      </w:r>
      <w:r>
        <w:instrText xml:space="preserve">HYPERLINK  \l "_Toc31646" </w:instrText>
      </w:r>
      <w:r>
        <w:fldChar w:fldCharType="separate"/>
      </w:r>
      <w:r>
        <w:rPr>
          <w:rFonts w:hint="eastAsia" w:ascii="宋体" w:hAnsi="宋体" w:cs="宋体"/>
          <w:sz w:val="28"/>
          <w:szCs w:val="28"/>
        </w:rPr>
        <w:t>第五章 发包人要求</w:t>
      </w:r>
      <w:r>
        <w:rPr>
          <w:rFonts w:hint="eastAsia" w:ascii="宋体" w:hAnsi="宋体" w:cs="宋体"/>
          <w:sz w:val="28"/>
          <w:szCs w:val="28"/>
        </w:rPr>
        <w:tab/>
      </w:r>
      <w:r>
        <w:fldChar w:fldCharType="end"/>
      </w:r>
      <w:r>
        <w:rPr>
          <w:rFonts w:hint="eastAsia" w:ascii="宋体" w:hAnsi="宋体" w:cs="宋体"/>
          <w:sz w:val="28"/>
          <w:szCs w:val="28"/>
        </w:rPr>
        <w:t>42</w:t>
      </w:r>
    </w:p>
    <w:p>
      <w:pPr>
        <w:pStyle w:val="2"/>
        <w:tabs>
          <w:tab w:val="right" w:leader="dot" w:pos="9027"/>
          <w:tab w:val="clear" w:pos="9003"/>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_Toc14655 </w:instrText>
      </w:r>
      <w:r>
        <w:rPr>
          <w:rFonts w:hint="eastAsia" w:ascii="宋体" w:hAnsi="宋体" w:cs="宋体"/>
          <w:sz w:val="28"/>
          <w:szCs w:val="28"/>
        </w:rPr>
        <w:fldChar w:fldCharType="separate"/>
      </w:r>
      <w:r>
        <w:rPr>
          <w:rFonts w:hint="eastAsia" w:ascii="宋体" w:hAnsi="宋体" w:cs="宋体"/>
          <w:sz w:val="28"/>
          <w:szCs w:val="28"/>
        </w:rPr>
        <w:t>第六章 投标文件的格式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_Toc14655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fldChar w:fldCharType="end"/>
      </w:r>
    </w:p>
    <w:p>
      <w:pPr>
        <w:pStyle w:val="2"/>
        <w:widowControl w:val="0"/>
        <w:tabs>
          <w:tab w:val="right" w:leader="dot" w:pos="8811"/>
          <w:tab w:val="clear" w:pos="9003"/>
        </w:tabs>
        <w:autoSpaceDE w:val="0"/>
        <w:autoSpaceDN w:val="0"/>
        <w:adjustRightInd w:val="0"/>
        <w:snapToGrid w:val="0"/>
        <w:spacing w:before="0" w:after="0" w:line="240" w:lineRule="auto"/>
        <w:jc w:val="both"/>
        <w:rPr>
          <w:rFonts w:ascii="宋体" w:hAnsi="宋体" w:cs="宋体"/>
          <w:sz w:val="24"/>
          <w:szCs w:val="24"/>
        </w:rPr>
      </w:pPr>
      <w:r>
        <w:rPr>
          <w:rFonts w:hint="eastAsia" w:ascii="宋体" w:hAnsi="宋体" w:cs="宋体"/>
          <w:sz w:val="28"/>
          <w:szCs w:val="28"/>
        </w:rPr>
        <w:fldChar w:fldCharType="end"/>
      </w:r>
    </w:p>
    <w:p>
      <w:bookmarkStart w:id="0" w:name="_Toc15749"/>
      <w:bookmarkStart w:id="1" w:name="_Toc317191311"/>
      <w:bookmarkStart w:id="2" w:name="_Toc337823057"/>
      <w:bookmarkStart w:id="3" w:name="_Toc317186892"/>
      <w:bookmarkStart w:id="4" w:name="_Toc317186806"/>
      <w:bookmarkStart w:id="5" w:name="_Toc317187050"/>
      <w:bookmarkStart w:id="6" w:name="_Toc317186941"/>
      <w:bookmarkStart w:id="7" w:name="_Toc317187368"/>
      <w:bookmarkStart w:id="8" w:name="_Toc317187168"/>
      <w:bookmarkStart w:id="9" w:name="_Toc337822909"/>
      <w:bookmarkStart w:id="10" w:name="_Toc317187333"/>
      <w:bookmarkStart w:id="11" w:name="_Ref317186535"/>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pStyle w:val="2"/>
        <w:rPr>
          <w:rFonts w:ascii="宋体" w:hAnsi="宋体" w:cs="宋体"/>
        </w:rPr>
      </w:pPr>
    </w:p>
    <w:p>
      <w:pPr>
        <w:pStyle w:val="3"/>
        <w:topLinePunct/>
        <w:spacing w:line="240" w:lineRule="auto"/>
        <w:jc w:val="center"/>
        <w:textAlignment w:val="center"/>
        <w:rPr>
          <w:rFonts w:ascii="宋体" w:hAnsi="宋体" w:cs="宋体"/>
          <w:sz w:val="30"/>
          <w:szCs w:val="30"/>
        </w:rPr>
        <w:sectPr>
          <w:headerReference r:id="rId7" w:type="default"/>
          <w:footerReference r:id="rId8" w:type="default"/>
          <w:pgSz w:w="11907" w:h="16840"/>
          <w:pgMar w:top="1440" w:right="1440" w:bottom="1440" w:left="1440" w:header="851" w:footer="992" w:gutter="0"/>
          <w:cols w:space="720" w:num="1"/>
          <w:docGrid w:linePitch="326" w:charSpace="0"/>
        </w:sectPr>
      </w:pPr>
      <w:bookmarkStart w:id="12" w:name="_Toc10862"/>
    </w:p>
    <w:p>
      <w:pPr>
        <w:pStyle w:val="29"/>
        <w:spacing w:before="0" w:after="0" w:line="480" w:lineRule="auto"/>
        <w:ind w:firstLine="0" w:firstLineChars="0"/>
        <w:rPr>
          <w:rFonts w:hint="eastAsia" w:ascii="宋体" w:hAnsi="宋体" w:cs="宋体"/>
          <w:b/>
          <w:sz w:val="32"/>
          <w:szCs w:val="32"/>
        </w:rPr>
      </w:pPr>
      <w:bookmarkStart w:id="13" w:name="_Toc26751"/>
      <w:bookmarkStart w:id="14" w:name="_Toc1351"/>
      <w:bookmarkStart w:id="15" w:name="_Toc30687"/>
      <w:bookmarkStart w:id="16" w:name="_Toc7865"/>
      <w:r>
        <w:rPr>
          <w:rFonts w:hint="eastAsia" w:ascii="宋体" w:hAnsi="宋体" w:cs="宋体"/>
          <w:b/>
          <w:sz w:val="32"/>
          <w:szCs w:val="32"/>
        </w:rPr>
        <w:t>第一章 招标公告</w:t>
      </w:r>
      <w:bookmarkEnd w:id="0"/>
      <w:bookmarkEnd w:id="12"/>
      <w:bookmarkEnd w:id="13"/>
      <w:bookmarkEnd w:id="14"/>
      <w:bookmarkEnd w:id="15"/>
      <w:bookmarkEnd w:id="16"/>
    </w:p>
    <w:p>
      <w:pPr>
        <w:spacing w:before="0" w:after="0" w:line="360" w:lineRule="auto"/>
        <w:contextualSpacing/>
        <w:rPr>
          <w:rFonts w:ascii="宋体" w:hAnsi="宋体" w:cs="宋体"/>
          <w:snapToGrid w:val="0"/>
          <w:sz w:val="24"/>
          <w:szCs w:val="24"/>
        </w:rPr>
      </w:pPr>
      <w:bookmarkStart w:id="17" w:name="_Toc208326720"/>
    </w:p>
    <w:p>
      <w:pPr>
        <w:spacing w:before="0" w:after="0" w:line="360" w:lineRule="auto"/>
        <w:contextualSpacing/>
        <w:rPr>
          <w:rFonts w:ascii="宋体" w:hAnsi="宋体" w:cs="宋体"/>
          <w:snapToGrid w:val="0"/>
          <w:sz w:val="24"/>
          <w:szCs w:val="24"/>
          <w:lang w:val="en-US"/>
        </w:rPr>
      </w:pPr>
      <w:r>
        <w:rPr>
          <w:rFonts w:hint="eastAsia" w:ascii="宋体" w:hAnsi="宋体" w:cs="宋体"/>
          <w:snapToGrid w:val="0"/>
          <w:sz w:val="24"/>
          <w:szCs w:val="24"/>
        </w:rPr>
        <w:t>项目名称：</w:t>
      </w:r>
      <w:bookmarkEnd w:id="17"/>
      <w:r>
        <w:rPr>
          <w:rFonts w:hint="eastAsia" w:ascii="宋体" w:hAnsi="宋体" w:cs="宋体"/>
          <w:snapToGrid w:val="0"/>
          <w:sz w:val="24"/>
          <w:szCs w:val="24"/>
          <w:lang w:eastAsia="zh-CN"/>
        </w:rPr>
        <w:t>四川省</w:t>
      </w:r>
      <w:r>
        <w:rPr>
          <w:rFonts w:hint="eastAsia" w:ascii="宋体" w:hAnsi="宋体" w:cs="宋体"/>
          <w:snapToGrid w:val="0"/>
          <w:sz w:val="24"/>
          <w:szCs w:val="24"/>
          <w:lang w:val="en-US" w:eastAsia="zh-CN"/>
        </w:rPr>
        <w:t>能投攀枝花水电开发有限公司营地及电厂物业服务</w:t>
      </w:r>
    </w:p>
    <w:p>
      <w:pPr>
        <w:kinsoku w:val="0"/>
        <w:overflowPunct w:val="0"/>
        <w:snapToGrid w:val="0"/>
        <w:spacing w:before="0" w:after="0" w:line="360" w:lineRule="auto"/>
        <w:rPr>
          <w:rFonts w:ascii="宋体" w:hAnsi="宋体" w:cs="宋体"/>
          <w:snapToGrid w:val="0"/>
          <w:sz w:val="24"/>
          <w:szCs w:val="24"/>
        </w:rPr>
      </w:pPr>
      <w:r>
        <w:rPr>
          <w:rFonts w:hint="eastAsia" w:ascii="宋体" w:hAnsi="宋体" w:cs="宋体"/>
          <w:snapToGrid w:val="0"/>
          <w:sz w:val="24"/>
          <w:szCs w:val="24"/>
        </w:rPr>
        <w:t>项目所在地区：四川省攀枝花市西区</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1．项目概况</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1.1项目概况</w:t>
      </w:r>
    </w:p>
    <w:p>
      <w:pPr>
        <w:pStyle w:val="18"/>
        <w:spacing w:before="0" w:after="0" w:line="360" w:lineRule="auto"/>
        <w:ind w:firstLine="480"/>
        <w:rPr>
          <w:rFonts w:hAnsi="宋体" w:cs="宋体"/>
          <w:sz w:val="24"/>
          <w:szCs w:val="24"/>
        </w:rPr>
      </w:pPr>
      <w:r>
        <w:rPr>
          <w:rFonts w:hint="eastAsia" w:hAnsi="宋体" w:cs="宋体"/>
          <w:sz w:val="24"/>
          <w:szCs w:val="24"/>
        </w:rPr>
        <w:t>金沙水电站是金沙江中游十级水电枢纽规划的第九级，位于金沙江中游攀枝花西区河段，上距观音岩水电站坝址28.9km，下距攀枝花市区11km，距银江水电站坝址21.3km。电站最大坝高66m，总库容为1.08亿m³，调节库容1120万m³，具有日调节功能；总装机容量为560MW（4×140MW），多年平均发电量21.77亿kW.h。金沙水电站为国家重大建设项目，同时也是四川省、攀枝花市重点建设项目，由四川省能投攀枝花水电开发有限公司开发建设。</w:t>
      </w:r>
    </w:p>
    <w:p>
      <w:pPr>
        <w:pStyle w:val="18"/>
        <w:spacing w:before="0" w:after="0" w:line="360" w:lineRule="auto"/>
        <w:ind w:firstLine="480" w:firstLineChars="200"/>
        <w:rPr>
          <w:rFonts w:hAnsi="宋体" w:cs="宋体"/>
          <w:sz w:val="24"/>
          <w:szCs w:val="24"/>
        </w:rPr>
      </w:pPr>
      <w:r>
        <w:rPr>
          <w:rFonts w:hint="eastAsia" w:hAnsi="宋体" w:cs="宋体"/>
          <w:sz w:val="24"/>
          <w:szCs w:val="24"/>
          <w:lang w:val="zh-CN"/>
        </w:rPr>
        <w:t>四川省能投攀枝花水电开发有限公司营地含办公大楼、宿舍楼、接待中心大楼、</w:t>
      </w:r>
      <w:r>
        <w:rPr>
          <w:rFonts w:hint="eastAsia" w:hAnsi="宋体" w:cs="宋体"/>
          <w:sz w:val="24"/>
          <w:szCs w:val="24"/>
          <w:lang w:val="en-US" w:eastAsia="zh-CN"/>
        </w:rPr>
        <w:t>后勤保障楼、门岗、</w:t>
      </w:r>
      <w:r>
        <w:rPr>
          <w:rFonts w:hint="eastAsia" w:hAnsi="宋体" w:cs="宋体"/>
          <w:sz w:val="24"/>
          <w:szCs w:val="24"/>
          <w:lang w:val="zh-CN"/>
        </w:rPr>
        <w:t>地下车库及整个地面公共区域等，建筑面积约</w:t>
      </w:r>
      <w:r>
        <w:rPr>
          <w:rFonts w:hint="eastAsia" w:hAnsi="宋体" w:cs="宋体"/>
          <w:sz w:val="24"/>
          <w:szCs w:val="24"/>
          <w:lang w:val="en-US" w:eastAsia="zh-CN"/>
        </w:rPr>
        <w:t>5.0万</w:t>
      </w:r>
      <w:r>
        <w:rPr>
          <w:rFonts w:hint="eastAsia" w:hAnsi="宋体" w:cs="宋体"/>
          <w:sz w:val="24"/>
          <w:szCs w:val="24"/>
          <w:lang w:val="zh-CN"/>
        </w:rPr>
        <w:t>平米。</w:t>
      </w:r>
      <w:r>
        <w:rPr>
          <w:rFonts w:hint="eastAsia" w:hAnsi="宋体" w:cs="宋体"/>
          <w:sz w:val="24"/>
          <w:szCs w:val="24"/>
        </w:rPr>
        <w:t>金沙水力发电厂</w:t>
      </w:r>
      <w:r>
        <w:rPr>
          <w:rFonts w:hint="eastAsia" w:hAnsi="宋体" w:cs="宋体"/>
          <w:sz w:val="24"/>
          <w:szCs w:val="24"/>
          <w:lang w:val="en-US" w:eastAsia="zh-CN"/>
        </w:rPr>
        <w:t>含门岗、厂区道路、主副厂房及整个厂区地面公共区域</w:t>
      </w:r>
      <w:r>
        <w:rPr>
          <w:rFonts w:hint="eastAsia" w:hAnsi="宋体" w:cs="宋体"/>
          <w:sz w:val="24"/>
          <w:szCs w:val="24"/>
          <w:lang w:eastAsia="zh-CN"/>
        </w:rPr>
        <w:t>，</w:t>
      </w:r>
      <w:r>
        <w:rPr>
          <w:rFonts w:hint="eastAsia" w:hAnsi="宋体" w:cs="宋体"/>
          <w:sz w:val="24"/>
          <w:szCs w:val="24"/>
          <w:lang w:val="en-US" w:eastAsia="zh-CN"/>
        </w:rPr>
        <w:t>建筑面积约1.5万平米。</w:t>
      </w:r>
    </w:p>
    <w:p>
      <w:pPr>
        <w:spacing w:before="0" w:after="0" w:line="360" w:lineRule="auto"/>
        <w:rPr>
          <w:rFonts w:ascii="宋体" w:hAnsi="宋体" w:cs="宋体"/>
          <w:sz w:val="24"/>
          <w:szCs w:val="24"/>
        </w:rPr>
      </w:pPr>
      <w:r>
        <w:rPr>
          <w:rFonts w:hint="eastAsia" w:ascii="宋体" w:hAnsi="宋体" w:cs="宋体"/>
          <w:sz w:val="24"/>
          <w:szCs w:val="24"/>
        </w:rPr>
        <w:t xml:space="preserve">    2.招标范围</w:t>
      </w:r>
    </w:p>
    <w:p>
      <w:pPr>
        <w:spacing w:before="0" w:after="0" w:line="360" w:lineRule="auto"/>
        <w:ind w:firstLine="0"/>
        <w:rPr>
          <w:rFonts w:ascii="宋体" w:hAnsi="宋体" w:cs="宋体"/>
          <w:sz w:val="24"/>
          <w:szCs w:val="24"/>
        </w:rPr>
      </w:pPr>
      <w:bookmarkStart w:id="18" w:name="NoticeSurveyRange_7456"/>
      <w:r>
        <w:rPr>
          <w:rFonts w:hint="eastAsia" w:ascii="宋体" w:hAnsi="宋体" w:cs="宋体"/>
          <w:sz w:val="24"/>
          <w:szCs w:val="24"/>
        </w:rPr>
        <w:t xml:space="preserve">    2.1金沙水力发电厂物业服务，见第五章相关内容；</w:t>
      </w:r>
    </w:p>
    <w:p>
      <w:pPr>
        <w:pStyle w:val="78"/>
        <w:spacing w:before="0" w:after="0"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    2.2营地物业服务，</w:t>
      </w:r>
      <w:r>
        <w:rPr>
          <w:rFonts w:hint="eastAsia" w:ascii="宋体" w:hAnsi="宋体" w:cs="宋体"/>
          <w:sz w:val="24"/>
          <w:szCs w:val="24"/>
        </w:rPr>
        <w:t>见第五章相关内容。</w:t>
      </w:r>
    </w:p>
    <w:p>
      <w:pPr>
        <w:pStyle w:val="18"/>
        <w:spacing w:before="0" w:after="0" w:line="360" w:lineRule="auto"/>
        <w:contextualSpacing/>
        <w:rPr>
          <w:rFonts w:hAnsi="宋体" w:cs="宋体"/>
          <w:snapToGrid w:val="0"/>
          <w:sz w:val="24"/>
          <w:szCs w:val="24"/>
        </w:rPr>
      </w:pPr>
      <w:r>
        <w:rPr>
          <w:rFonts w:hint="eastAsia" w:hAnsi="宋体" w:cs="宋体"/>
          <w:sz w:val="24"/>
          <w:szCs w:val="24"/>
        </w:rPr>
        <w:t xml:space="preserve">    </w:t>
      </w:r>
      <w:bookmarkEnd w:id="18"/>
      <w:r>
        <w:rPr>
          <w:rFonts w:hint="eastAsia" w:hAnsi="宋体" w:cs="宋体"/>
          <w:snapToGrid w:val="0"/>
          <w:sz w:val="24"/>
          <w:szCs w:val="24"/>
        </w:rPr>
        <w:t>3.服务期限</w:t>
      </w:r>
    </w:p>
    <w:p>
      <w:pPr>
        <w:pStyle w:val="78"/>
        <w:spacing w:before="0" w:after="0" w:line="360" w:lineRule="auto"/>
        <w:ind w:firstLine="480"/>
        <w:rPr>
          <w:rFonts w:ascii="宋体" w:hAnsi="宋体" w:cs="宋体"/>
          <w:sz w:val="24"/>
          <w:szCs w:val="24"/>
        </w:rPr>
      </w:pPr>
      <w:r>
        <w:rPr>
          <w:rFonts w:hint="eastAsia" w:ascii="宋体" w:hAnsi="宋体" w:cs="宋体"/>
          <w:sz w:val="24"/>
          <w:szCs w:val="24"/>
        </w:rPr>
        <w:t>本招标项目服务期限：金沙水力发电厂自合同签订之日起～2023年12月31日；营地自2022年1月1日～2023年12月31日。</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4.投标人资格要求</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本项目采用资格后审方式评审，投标人应同时具备以下资格条件：</w:t>
      </w:r>
    </w:p>
    <w:p>
      <w:pPr>
        <w:spacing w:before="0"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（1）具有独立法人资格，注册资本金不低于200万元人民币；</w:t>
      </w:r>
    </w:p>
    <w:p>
      <w:pPr>
        <w:spacing w:before="0"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（2）2017年以来应具有不少于2个物业管理服务合同业绩；</w:t>
      </w:r>
    </w:p>
    <w:p>
      <w:pPr>
        <w:spacing w:before="0"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（3）2017年-2019年财务状况良好，未出现亏损；</w:t>
      </w:r>
    </w:p>
    <w:p>
      <w:pPr>
        <w:spacing w:before="0"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（4）具有实施采购服务项目的履行合同所必需的人员、设备、专业技术能力、相应的管理能力、质量保证和能力资信；</w:t>
      </w:r>
    </w:p>
    <w:p>
      <w:pPr>
        <w:spacing w:before="0"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（5）未在国家相关管理机构（包括中国执行信息公开网shixin.court.gov.cn、国家发展和改革委员会信用中国www.creditchina.gov.cn）公布的失信被执行人名单内。</w:t>
      </w:r>
    </w:p>
    <w:p>
      <w:pPr>
        <w:spacing w:before="0" w:after="0" w:line="360" w:lineRule="auto"/>
        <w:ind w:firstLine="480" w:firstLineChars="200"/>
        <w:contextualSpacing/>
        <w:rPr>
          <w:rFonts w:ascii="宋体" w:hAnsi="宋体" w:cs="宋体"/>
          <w:spacing w:val="1"/>
          <w:kern w:val="0"/>
          <w:sz w:val="24"/>
          <w:szCs w:val="24"/>
          <w:highlight w:val="none"/>
        </w:rPr>
      </w:pPr>
      <w:r>
        <w:rPr>
          <w:rFonts w:hint="eastAsia" w:ascii="宋体" w:hAnsi="宋体" w:cs="宋体"/>
          <w:snapToGrid w:val="0"/>
          <w:sz w:val="24"/>
          <w:szCs w:val="24"/>
        </w:rPr>
        <w:t>5.招标文件的获取</w:t>
      </w:r>
    </w:p>
    <w:p>
      <w:pPr>
        <w:spacing w:before="0" w:after="0" w:line="360" w:lineRule="auto"/>
        <w:ind w:firstLine="484" w:firstLineChars="200"/>
        <w:rPr>
          <w:rFonts w:hint="eastAsia" w:ascii="宋体" w:hAnsi="宋体" w:cs="宋体"/>
          <w:spacing w:val="1"/>
          <w:kern w:val="0"/>
          <w:sz w:val="24"/>
          <w:szCs w:val="24"/>
          <w:highlight w:val="none"/>
        </w:rPr>
      </w:pPr>
      <w:r>
        <w:rPr>
          <w:rFonts w:hint="eastAsia" w:ascii="宋体" w:hAnsi="宋体" w:cs="宋体"/>
          <w:spacing w:val="1"/>
          <w:kern w:val="0"/>
          <w:sz w:val="24"/>
          <w:szCs w:val="24"/>
          <w:highlight w:val="none"/>
        </w:rPr>
        <w:t>有意参加投标者，请于2020年</w:t>
      </w:r>
      <w:r>
        <w:rPr>
          <w:rFonts w:hint="eastAsia" w:ascii="宋体" w:hAnsi="宋体" w:cs="宋体"/>
          <w:spacing w:val="1"/>
          <w:kern w:val="0"/>
          <w:sz w:val="24"/>
          <w:szCs w:val="24"/>
          <w:highlight w:val="none"/>
          <w:lang w:val="en-US" w:eastAsia="zh-CN"/>
        </w:rPr>
        <w:t>3</w:t>
      </w:r>
      <w:r>
        <w:rPr>
          <w:rFonts w:hint="eastAsia" w:ascii="宋体" w:hAnsi="宋体" w:cs="宋体"/>
          <w:spacing w:val="1"/>
          <w:kern w:val="0"/>
          <w:sz w:val="24"/>
          <w:szCs w:val="24"/>
          <w:highlight w:val="none"/>
        </w:rPr>
        <w:t>月</w:t>
      </w:r>
      <w:r>
        <w:rPr>
          <w:rFonts w:hint="eastAsia" w:ascii="宋体" w:hAnsi="宋体" w:cs="宋体"/>
          <w:spacing w:val="1"/>
          <w:kern w:val="0"/>
          <w:sz w:val="24"/>
          <w:szCs w:val="24"/>
          <w:highlight w:val="none"/>
          <w:lang w:val="en-US" w:eastAsia="zh-CN"/>
        </w:rPr>
        <w:t>4</w:t>
      </w:r>
      <w:r>
        <w:rPr>
          <w:rFonts w:hint="eastAsia" w:ascii="宋体" w:hAnsi="宋体" w:cs="宋体"/>
          <w:spacing w:val="1"/>
          <w:kern w:val="0"/>
          <w:sz w:val="24"/>
          <w:szCs w:val="24"/>
          <w:highlight w:val="none"/>
        </w:rPr>
        <w:t>日开始登录四川省能投攀枝花水电开发有限公司官网（http://pzh.scnyw.com//）下载招标文件。</w:t>
      </w:r>
    </w:p>
    <w:p>
      <w:pPr>
        <w:spacing w:before="0" w:after="0" w:line="360" w:lineRule="auto"/>
        <w:ind w:firstLine="480" w:firstLineChars="200"/>
        <w:contextualSpacing/>
        <w:rPr>
          <w:rFonts w:ascii="宋体" w:hAnsi="宋体" w:cs="宋体"/>
          <w:snapToGrid w:val="0"/>
          <w:sz w:val="24"/>
          <w:szCs w:val="24"/>
          <w:highlight w:val="none"/>
        </w:rPr>
      </w:pPr>
      <w:r>
        <w:rPr>
          <w:rFonts w:hint="eastAsia" w:ascii="宋体" w:hAnsi="宋体" w:cs="宋体"/>
          <w:snapToGrid w:val="0"/>
          <w:sz w:val="24"/>
          <w:szCs w:val="24"/>
          <w:highlight w:val="none"/>
        </w:rPr>
        <w:t>6.投标文件的递交</w:t>
      </w:r>
    </w:p>
    <w:p>
      <w:pPr>
        <w:spacing w:before="0" w:after="0" w:line="360" w:lineRule="auto"/>
        <w:ind w:firstLine="480" w:firstLineChars="200"/>
        <w:rPr>
          <w:rFonts w:ascii="宋体" w:hAnsi="宋体" w:cs="宋体"/>
          <w:sz w:val="24"/>
          <w:szCs w:val="24"/>
        </w:rPr>
      </w:pPr>
      <w:r>
        <w:rPr>
          <w:rFonts w:hint="eastAsia" w:ascii="宋体" w:hAnsi="宋体" w:cs="宋体"/>
          <w:sz w:val="24"/>
          <w:szCs w:val="24"/>
          <w:highlight w:val="none"/>
        </w:rPr>
        <w:t>（1）投标文件的递交截止时间：2020年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月</w:t>
      </w:r>
      <w:r>
        <w:rPr>
          <w:rFonts w:hint="eastAsia" w:ascii="宋体" w:hAnsi="宋体" w:cs="宋体"/>
          <w:sz w:val="24"/>
          <w:szCs w:val="24"/>
          <w:highlight w:val="none"/>
          <w:lang w:val="en-US" w:eastAsia="zh-CN"/>
        </w:rPr>
        <w:t>25</w:t>
      </w:r>
      <w:bookmarkStart w:id="267" w:name="_GoBack"/>
      <w:bookmarkEnd w:id="267"/>
      <w:r>
        <w:rPr>
          <w:rFonts w:hint="eastAsia" w:ascii="宋体" w:hAnsi="宋体" w:cs="宋体"/>
          <w:sz w:val="24"/>
          <w:szCs w:val="24"/>
          <w:highlight w:val="none"/>
        </w:rPr>
        <w:t>日10时（北</w:t>
      </w:r>
      <w:r>
        <w:rPr>
          <w:rFonts w:hint="eastAsia" w:ascii="宋体" w:hAnsi="宋体" w:cs="宋体"/>
          <w:sz w:val="24"/>
          <w:szCs w:val="24"/>
        </w:rPr>
        <w:t>京时间）。</w:t>
      </w:r>
    </w:p>
    <w:p>
      <w:pPr>
        <w:spacing w:before="0" w:after="0" w:line="360" w:lineRule="auto"/>
        <w:ind w:firstLine="480" w:firstLineChars="200"/>
        <w:rPr>
          <w:rFonts w:ascii="宋体" w:hAnsi="宋体" w:cs="宋体"/>
          <w:sz w:val="24"/>
          <w:szCs w:val="24"/>
        </w:rPr>
      </w:pPr>
      <w:r>
        <w:rPr>
          <w:rFonts w:hint="eastAsia" w:ascii="宋体" w:hAnsi="宋体" w:cs="宋体"/>
          <w:sz w:val="24"/>
          <w:szCs w:val="24"/>
        </w:rPr>
        <w:t>（2）投标文件递交地点：四川省攀枝花市西区建福巷88号508会议室。</w:t>
      </w:r>
    </w:p>
    <w:p>
      <w:pPr>
        <w:spacing w:before="0" w:after="0" w:line="360" w:lineRule="auto"/>
        <w:ind w:firstLine="480" w:firstLineChars="200"/>
        <w:rPr>
          <w:rFonts w:ascii="宋体" w:hAnsi="宋体" w:cs="宋体"/>
          <w:sz w:val="24"/>
          <w:szCs w:val="24"/>
        </w:rPr>
      </w:pPr>
      <w:r>
        <w:rPr>
          <w:rFonts w:hint="eastAsia" w:ascii="宋体" w:hAnsi="宋体" w:cs="宋体"/>
          <w:sz w:val="24"/>
          <w:szCs w:val="24"/>
        </w:rPr>
        <w:t>（3）逾期送达的或者未送达指定地点的投标文件，招标人不予受理。</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7.发布公告的媒介</w:t>
      </w:r>
    </w:p>
    <w:p>
      <w:pPr>
        <w:spacing w:before="0" w:after="0" w:line="360" w:lineRule="auto"/>
        <w:ind w:firstLine="480" w:firstLineChars="200"/>
        <w:rPr>
          <w:rFonts w:ascii="宋体" w:hAnsi="宋体" w:cs="宋体"/>
          <w:sz w:val="24"/>
          <w:szCs w:val="24"/>
        </w:rPr>
      </w:pPr>
      <w:r>
        <w:rPr>
          <w:rFonts w:hint="eastAsia" w:ascii="宋体" w:hAnsi="宋体" w:cs="宋体"/>
          <w:sz w:val="24"/>
          <w:szCs w:val="24"/>
        </w:rPr>
        <w:t>招标公告在</w:t>
      </w:r>
      <w:r>
        <w:rPr>
          <w:rFonts w:hint="eastAsia" w:ascii="宋体" w:hAnsi="宋体" w:cs="宋体"/>
          <w:sz w:val="24"/>
          <w:szCs w:val="24"/>
          <w:u w:val="single"/>
        </w:rPr>
        <w:t>四川省能源投资集团有限责任公司、四川省能投攀枝花水电开发有限公司</w:t>
      </w:r>
      <w:r>
        <w:rPr>
          <w:rFonts w:hint="eastAsia" w:ascii="宋体" w:hAnsi="宋体" w:cs="宋体"/>
          <w:sz w:val="24"/>
          <w:szCs w:val="24"/>
          <w:u w:val="single"/>
          <w:lang w:val="en-US" w:eastAsia="zh-CN"/>
        </w:rPr>
        <w:t>官方</w:t>
      </w:r>
      <w:r>
        <w:rPr>
          <w:rFonts w:hint="eastAsia" w:ascii="宋体" w:hAnsi="宋体" w:cs="宋体"/>
          <w:sz w:val="24"/>
          <w:szCs w:val="24"/>
          <w:u w:val="single"/>
        </w:rPr>
        <w:t>网站</w:t>
      </w:r>
      <w:r>
        <w:rPr>
          <w:rFonts w:hint="eastAsia" w:ascii="宋体" w:hAnsi="宋体" w:cs="宋体"/>
          <w:sz w:val="24"/>
          <w:szCs w:val="24"/>
        </w:rPr>
        <w:t>（发布公告的所有媒介名称）上发布。</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8.联系方式</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招 标 人：四川省能投攀枝花水电开发有限公司</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地    址：四川省攀枝花市西区建福巷88号</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联 系 人：杨先生</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电    话：028-80583500，0812-3151239</w:t>
      </w:r>
    </w:p>
    <w:p>
      <w:pPr>
        <w:spacing w:before="0" w:after="0" w:line="360" w:lineRule="auto"/>
        <w:ind w:firstLine="480" w:firstLineChars="200"/>
        <w:contextualSpacing/>
        <w:rPr>
          <w:rFonts w:ascii="宋体" w:hAnsi="宋体" w:cs="宋体"/>
          <w:snapToGrid w:val="0"/>
          <w:sz w:val="24"/>
          <w:szCs w:val="24"/>
        </w:rPr>
      </w:pPr>
      <w:r>
        <w:rPr>
          <w:rFonts w:hint="eastAsia" w:ascii="宋体" w:hAnsi="宋体" w:cs="宋体"/>
          <w:snapToGrid w:val="0"/>
          <w:sz w:val="24"/>
          <w:szCs w:val="24"/>
        </w:rPr>
        <w:t>传    真：/</w:t>
      </w:r>
    </w:p>
    <w:p>
      <w:pPr>
        <w:spacing w:before="0" w:after="0" w:line="360" w:lineRule="auto"/>
        <w:ind w:firstLine="560" w:firstLineChars="200"/>
        <w:contextualSpacing/>
        <w:rPr>
          <w:rFonts w:ascii="宋体" w:hAnsi="宋体" w:cs="宋体"/>
          <w:snapToGrid w:val="0"/>
          <w:sz w:val="28"/>
          <w:szCs w:val="28"/>
        </w:rPr>
      </w:pPr>
      <w:r>
        <w:rPr>
          <w:rFonts w:hint="eastAsia" w:ascii="宋体" w:hAnsi="宋体" w:cs="宋体"/>
          <w:snapToGrid w:val="0"/>
          <w:sz w:val="28"/>
          <w:szCs w:val="28"/>
        </w:rPr>
        <w:t xml:space="preserve"> </w:t>
      </w:r>
    </w:p>
    <w:p>
      <w:pPr>
        <w:spacing w:before="0" w:after="0" w:line="360" w:lineRule="auto"/>
        <w:contextualSpacing/>
        <w:rPr>
          <w:rFonts w:ascii="宋体" w:hAnsi="宋体" w:cs="宋体"/>
          <w:snapToGrid w:val="0"/>
          <w:sz w:val="24"/>
          <w:szCs w:val="24"/>
        </w:rPr>
      </w:pPr>
      <w:r>
        <w:rPr>
          <w:rFonts w:hint="eastAsia" w:ascii="宋体" w:hAnsi="宋体" w:cs="宋体"/>
          <w:snapToGrid w:val="0"/>
          <w:sz w:val="28"/>
          <w:szCs w:val="28"/>
        </w:rPr>
        <w:t xml:space="preserve">                          </w:t>
      </w:r>
      <w:r>
        <w:rPr>
          <w:rFonts w:hint="eastAsia" w:ascii="宋体" w:hAnsi="宋体" w:cs="宋体"/>
          <w:snapToGrid w:val="0"/>
          <w:sz w:val="24"/>
          <w:szCs w:val="24"/>
        </w:rPr>
        <w:t>四川省能投攀枝花水电开发有限公司</w:t>
      </w:r>
    </w:p>
    <w:p>
      <w:pPr>
        <w:spacing w:before="0" w:after="0" w:line="360" w:lineRule="auto"/>
        <w:ind w:firstLine="0" w:firstLineChars="0"/>
        <w:contextualSpacing/>
        <w:rPr>
          <w:rFonts w:ascii="宋体" w:hAnsi="宋体" w:cs="宋体"/>
          <w:snapToGrid w:val="0"/>
          <w:sz w:val="28"/>
          <w:szCs w:val="28"/>
          <w:highlight w:val="yellow"/>
        </w:rPr>
        <w:sectPr>
          <w:footerReference r:id="rId9" w:type="default"/>
          <w:pgSz w:w="11907" w:h="16840"/>
          <w:pgMar w:top="1440" w:right="1440" w:bottom="1440" w:left="1440" w:header="851" w:footer="992" w:gutter="0"/>
          <w:pgNumType w:fmt="decimal" w:start="1"/>
          <w:cols w:space="720" w:num="1"/>
          <w:docGrid w:linePitch="326" w:charSpace="0"/>
        </w:sectPr>
      </w:pPr>
      <w:r>
        <w:rPr>
          <w:rFonts w:hint="eastAsia" w:ascii="宋体" w:hAnsi="宋体" w:cs="宋体"/>
          <w:snapToGrid w:val="0"/>
          <w:sz w:val="24"/>
          <w:szCs w:val="24"/>
        </w:rPr>
        <w:t xml:space="preserve">                                      202</w:t>
      </w:r>
      <w:r>
        <w:rPr>
          <w:rFonts w:hint="eastAsia" w:ascii="宋体" w:hAnsi="宋体" w:cs="宋体"/>
          <w:snapToGrid w:val="0"/>
          <w:sz w:val="24"/>
          <w:szCs w:val="24"/>
          <w:lang w:val="en-US" w:eastAsia="zh-CN"/>
        </w:rPr>
        <w:t>1</w:t>
      </w:r>
      <w:r>
        <w:rPr>
          <w:rFonts w:hint="eastAsia" w:ascii="宋体" w:hAnsi="宋体" w:cs="宋体"/>
          <w:snapToGrid w:val="0"/>
          <w:sz w:val="24"/>
          <w:szCs w:val="24"/>
        </w:rPr>
        <w:t>年</w:t>
      </w:r>
      <w:r>
        <w:rPr>
          <w:rFonts w:hint="eastAsia" w:ascii="宋体" w:hAnsi="宋体" w:cs="宋体"/>
          <w:snapToGrid w:val="0"/>
          <w:sz w:val="24"/>
          <w:szCs w:val="24"/>
          <w:lang w:val="en-US" w:eastAsia="zh-CN"/>
        </w:rPr>
        <w:t>3</w:t>
      </w:r>
      <w:r>
        <w:rPr>
          <w:rFonts w:hint="eastAsia" w:ascii="宋体" w:hAnsi="宋体" w:cs="宋体"/>
          <w:snapToGrid w:val="0"/>
          <w:sz w:val="24"/>
          <w:szCs w:val="24"/>
        </w:rPr>
        <w:t>月</w:t>
      </w:r>
      <w:r>
        <w:rPr>
          <w:rFonts w:hint="eastAsia" w:ascii="宋体" w:hAnsi="宋体" w:cs="宋体"/>
          <w:snapToGrid w:val="0"/>
          <w:sz w:val="24"/>
          <w:szCs w:val="24"/>
          <w:lang w:val="en-US" w:eastAsia="zh-CN"/>
        </w:rPr>
        <w:t>3</w:t>
      </w:r>
      <w:r>
        <w:rPr>
          <w:rFonts w:hint="eastAsia" w:ascii="宋体" w:hAnsi="宋体" w:cs="宋体"/>
          <w:snapToGrid w:val="0"/>
          <w:sz w:val="24"/>
          <w:szCs w:val="24"/>
        </w:rPr>
        <w:t>日</w:t>
      </w:r>
      <w:r>
        <w:rPr>
          <w:rFonts w:hint="eastAsia" w:ascii="宋体" w:hAnsi="宋体" w:cs="宋体"/>
          <w:snapToGrid w:val="0"/>
          <w:sz w:val="28"/>
          <w:szCs w:val="28"/>
        </w:rPr>
        <w:t xml:space="preserve">                           </w:t>
      </w:r>
    </w:p>
    <w:p>
      <w:pPr>
        <w:pStyle w:val="29"/>
        <w:spacing w:before="0" w:after="0" w:line="480" w:lineRule="auto"/>
        <w:ind w:firstLine="0" w:firstLineChars="0"/>
        <w:rPr>
          <w:rFonts w:ascii="宋体" w:hAnsi="宋体" w:cs="宋体"/>
          <w:b/>
          <w:sz w:val="32"/>
          <w:szCs w:val="32"/>
        </w:rPr>
      </w:pPr>
      <w:bookmarkStart w:id="19" w:name="_Toc11593"/>
      <w:bookmarkStart w:id="20" w:name="_Toc9816"/>
      <w:bookmarkStart w:id="21" w:name="_Toc19483"/>
      <w:bookmarkStart w:id="22" w:name="_Toc28498"/>
      <w:bookmarkStart w:id="23" w:name="_Toc8760"/>
      <w:bookmarkStart w:id="24" w:name="_Toc29527"/>
      <w:r>
        <w:rPr>
          <w:rFonts w:hint="eastAsia" w:ascii="宋体" w:hAnsi="宋体" w:cs="宋体"/>
          <w:b/>
          <w:sz w:val="32"/>
          <w:szCs w:val="32"/>
        </w:rPr>
        <w:t>第二章</w:t>
      </w:r>
      <w:r>
        <w:rPr>
          <w:rFonts w:ascii="宋体" w:hAnsi="宋体" w:cs="宋体"/>
          <w:b/>
          <w:sz w:val="32"/>
          <w:szCs w:val="32"/>
        </w:rPr>
        <w:t xml:space="preserve">  </w:t>
      </w:r>
      <w:r>
        <w:rPr>
          <w:rFonts w:hint="eastAsia" w:ascii="宋体" w:hAnsi="宋体" w:cs="宋体"/>
          <w:b/>
          <w:sz w:val="32"/>
          <w:szCs w:val="32"/>
        </w:rPr>
        <w:t>投标人须知</w:t>
      </w:r>
      <w:bookmarkEnd w:id="1"/>
      <w:bookmarkEnd w:id="2"/>
      <w:bookmarkEnd w:id="3"/>
      <w:bookmarkEnd w:id="4"/>
      <w:bookmarkEnd w:id="5"/>
      <w:bookmarkEnd w:id="6"/>
      <w:bookmarkEnd w:id="7"/>
      <w:bookmarkEnd w:id="8"/>
      <w:bookmarkEnd w:id="9"/>
      <w:bookmarkEnd w:id="10"/>
      <w:bookmarkEnd w:id="11"/>
      <w:bookmarkEnd w:id="19"/>
      <w:bookmarkEnd w:id="20"/>
      <w:bookmarkEnd w:id="21"/>
      <w:bookmarkEnd w:id="22"/>
      <w:bookmarkEnd w:id="23"/>
      <w:bookmarkEnd w:id="24"/>
    </w:p>
    <w:p>
      <w:pPr>
        <w:pStyle w:val="6"/>
        <w:spacing w:before="0" w:after="0" w:line="360" w:lineRule="auto"/>
        <w:jc w:val="center"/>
        <w:rPr>
          <w:rFonts w:ascii="宋体" w:hAnsi="宋体" w:eastAsia="宋体" w:cs="宋体"/>
          <w:b w:val="0"/>
          <w:sz w:val="24"/>
          <w:szCs w:val="24"/>
        </w:rPr>
      </w:pPr>
      <w:bookmarkStart w:id="25" w:name="_Toc1348"/>
      <w:bookmarkStart w:id="26" w:name="_Toc317187169"/>
      <w:r>
        <w:rPr>
          <w:rFonts w:hint="eastAsia" w:ascii="宋体" w:hAnsi="宋体" w:eastAsia="宋体" w:cs="宋体"/>
          <w:b w:val="0"/>
          <w:sz w:val="24"/>
          <w:szCs w:val="24"/>
        </w:rPr>
        <w:t>投标人须知前附表</w:t>
      </w:r>
      <w:bookmarkEnd w:id="25"/>
      <w:bookmarkEnd w:id="26"/>
    </w:p>
    <w:p>
      <w:pPr>
        <w:topLinePunct/>
        <w:spacing w:before="0" w:after="0" w:line="360" w:lineRule="auto"/>
        <w:ind w:firstLine="480" w:firstLineChars="200"/>
        <w:rPr>
          <w:rFonts w:ascii="宋体" w:hAnsi="宋体" w:cs="宋体"/>
          <w:sz w:val="24"/>
          <w:szCs w:val="24"/>
        </w:rPr>
      </w:pPr>
      <w:r>
        <w:rPr>
          <w:rFonts w:hint="eastAsia" w:ascii="宋体" w:hAnsi="宋体" w:cs="宋体"/>
          <w:sz w:val="24"/>
          <w:szCs w:val="24"/>
        </w:rPr>
        <w:t>投标人须知前附表是对投标人须知的具体补充和修改，如有矛盾，应以本表为准。</w:t>
      </w:r>
    </w:p>
    <w:tbl>
      <w:tblPr>
        <w:tblStyle w:val="33"/>
        <w:tblW w:w="90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5"/>
        <w:gridCol w:w="2372"/>
        <w:gridCol w:w="60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8" w:hRule="atLeast"/>
          <w:tblHeader/>
          <w:jc w:val="center"/>
        </w:trPr>
        <w:tc>
          <w:tcPr>
            <w:tcW w:w="605" w:type="dxa"/>
            <w:vAlign w:val="center"/>
          </w:tcPr>
          <w:p>
            <w:pPr>
              <w:snapToGrid w:val="0"/>
              <w:spacing w:before="0" w:after="0" w:line="400" w:lineRule="exact"/>
              <w:jc w:val="center"/>
              <w:rPr>
                <w:rFonts w:ascii="宋体" w:hAnsi="宋体" w:cs="宋体"/>
                <w:b/>
                <w:sz w:val="24"/>
                <w:szCs w:val="24"/>
              </w:rPr>
            </w:pPr>
            <w:r>
              <w:rPr>
                <w:rFonts w:hint="eastAsia" w:ascii="宋体" w:hAnsi="宋体" w:cs="宋体"/>
                <w:b/>
                <w:sz w:val="24"/>
                <w:szCs w:val="24"/>
              </w:rPr>
              <w:t>序号</w:t>
            </w:r>
          </w:p>
        </w:tc>
        <w:tc>
          <w:tcPr>
            <w:tcW w:w="2372" w:type="dxa"/>
            <w:vAlign w:val="center"/>
          </w:tcPr>
          <w:p>
            <w:pPr>
              <w:snapToGrid w:val="0"/>
              <w:spacing w:before="0" w:after="0" w:line="400" w:lineRule="exact"/>
              <w:jc w:val="center"/>
              <w:rPr>
                <w:rFonts w:ascii="宋体" w:hAnsi="宋体" w:cs="宋体"/>
                <w:b/>
                <w:sz w:val="24"/>
                <w:szCs w:val="24"/>
              </w:rPr>
            </w:pPr>
            <w:r>
              <w:rPr>
                <w:rFonts w:hint="eastAsia" w:ascii="宋体" w:hAnsi="宋体" w:cs="宋体"/>
                <w:b/>
                <w:sz w:val="24"/>
                <w:szCs w:val="24"/>
              </w:rPr>
              <w:t>条款名称</w:t>
            </w:r>
          </w:p>
        </w:tc>
        <w:tc>
          <w:tcPr>
            <w:tcW w:w="6052" w:type="dxa"/>
            <w:vAlign w:val="center"/>
          </w:tcPr>
          <w:p>
            <w:pPr>
              <w:snapToGrid w:val="0"/>
              <w:spacing w:before="0" w:after="0" w:line="400" w:lineRule="exact"/>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1"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招标人</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名称：</w:t>
            </w:r>
            <w:r>
              <w:rPr>
                <w:rFonts w:hint="eastAsia" w:ascii="宋体" w:hAnsi="宋体" w:cs="宋体"/>
                <w:spacing w:val="1"/>
                <w:sz w:val="24"/>
                <w:szCs w:val="24"/>
              </w:rPr>
              <w:t>四川省能投攀枝花水电开发有限公司</w:t>
            </w:r>
          </w:p>
          <w:p>
            <w:pPr>
              <w:snapToGrid w:val="0"/>
              <w:spacing w:before="0" w:after="0" w:line="400" w:lineRule="exact"/>
              <w:rPr>
                <w:rFonts w:ascii="宋体" w:hAnsi="宋体" w:cs="宋体"/>
                <w:sz w:val="24"/>
                <w:szCs w:val="24"/>
              </w:rPr>
            </w:pPr>
            <w:r>
              <w:rPr>
                <w:rFonts w:hint="eastAsia" w:ascii="宋体" w:hAnsi="宋体" w:cs="宋体"/>
                <w:sz w:val="24"/>
                <w:szCs w:val="24"/>
              </w:rPr>
              <w:t>地址：</w:t>
            </w:r>
            <w:r>
              <w:rPr>
                <w:rFonts w:hint="eastAsia" w:ascii="宋体" w:hAnsi="宋体" w:cs="宋体"/>
                <w:spacing w:val="1"/>
                <w:sz w:val="24"/>
                <w:szCs w:val="24"/>
              </w:rPr>
              <w:t>四川省攀枝花市西区建福巷88号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1"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项目名称</w:t>
            </w:r>
          </w:p>
        </w:tc>
        <w:tc>
          <w:tcPr>
            <w:tcW w:w="6052" w:type="dxa"/>
            <w:vAlign w:val="center"/>
          </w:tcPr>
          <w:p>
            <w:pPr>
              <w:spacing w:before="0" w:after="0" w:line="400" w:lineRule="exact"/>
              <w:contextualSpacing/>
              <w:rPr>
                <w:rFonts w:ascii="宋体" w:hAnsi="宋体" w:cs="宋体"/>
                <w:snapToGrid w:val="0"/>
                <w:sz w:val="24"/>
                <w:szCs w:val="24"/>
              </w:rPr>
            </w:pPr>
            <w:r>
              <w:rPr>
                <w:rFonts w:hint="eastAsia" w:ascii="宋体" w:hAnsi="宋体" w:cs="宋体"/>
                <w:snapToGrid w:val="0"/>
                <w:sz w:val="24"/>
                <w:szCs w:val="24"/>
                <w:lang w:eastAsia="zh-CN"/>
              </w:rPr>
              <w:t>川能攀枝花公司营地及电厂物业服务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6"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3</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地点</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攀枝花市西区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9"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4</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资金来源</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5</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资金落实</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1"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6</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招标方式</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3"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7</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招标范围</w:t>
            </w:r>
          </w:p>
        </w:tc>
        <w:tc>
          <w:tcPr>
            <w:tcW w:w="6052" w:type="dxa"/>
            <w:vAlign w:val="center"/>
          </w:tcPr>
          <w:p>
            <w:pPr>
              <w:spacing w:before="0" w:after="0" w:line="400" w:lineRule="exact"/>
              <w:rPr>
                <w:rFonts w:ascii="宋体" w:hAnsi="宋体" w:cs="宋体"/>
                <w:sz w:val="24"/>
                <w:szCs w:val="24"/>
              </w:rPr>
            </w:pPr>
            <w:r>
              <w:rPr>
                <w:rFonts w:hint="eastAsia" w:ascii="宋体" w:hAnsi="宋体" w:cs="宋体"/>
                <w:sz w:val="24"/>
                <w:szCs w:val="24"/>
              </w:rPr>
              <w:t>金沙水力发电厂及营地物业服务，详情见第五章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8"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8</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服务期限</w:t>
            </w:r>
          </w:p>
        </w:tc>
        <w:tc>
          <w:tcPr>
            <w:tcW w:w="6052" w:type="dxa"/>
            <w:vAlign w:val="center"/>
          </w:tcPr>
          <w:p>
            <w:pPr>
              <w:spacing w:before="0" w:after="0" w:line="400" w:lineRule="exact"/>
              <w:rPr>
                <w:rFonts w:ascii="宋体" w:hAnsi="宋体" w:cs="宋体"/>
                <w:sz w:val="24"/>
                <w:szCs w:val="24"/>
              </w:rPr>
            </w:pPr>
            <w:r>
              <w:rPr>
                <w:rFonts w:hint="eastAsia" w:ascii="宋体" w:hAnsi="宋体" w:cs="宋体"/>
                <w:sz w:val="24"/>
                <w:szCs w:val="24"/>
              </w:rPr>
              <w:t>金沙水力发电厂自合同签订之日起～2023年12月31日；</w:t>
            </w:r>
            <w:r>
              <w:rPr>
                <w:rFonts w:hint="eastAsia" w:ascii="宋体" w:hAnsi="宋体" w:cs="宋体"/>
                <w:sz w:val="24"/>
                <w:szCs w:val="24"/>
                <w:lang w:val="en-US" w:eastAsia="zh-CN"/>
              </w:rPr>
              <w:t>公司</w:t>
            </w:r>
            <w:r>
              <w:rPr>
                <w:rFonts w:hint="eastAsia" w:ascii="宋体" w:hAnsi="宋体" w:cs="宋体"/>
                <w:sz w:val="24"/>
                <w:szCs w:val="24"/>
              </w:rPr>
              <w:t>营地自2022年1月1日～2023年12月31日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2"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9</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质量要求</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10</w:t>
            </w:r>
          </w:p>
        </w:tc>
        <w:tc>
          <w:tcPr>
            <w:tcW w:w="2372" w:type="dxa"/>
            <w:vAlign w:val="center"/>
          </w:tcPr>
          <w:p>
            <w:pPr>
              <w:snapToGrid w:val="0"/>
              <w:spacing w:before="0" w:after="0" w:line="400" w:lineRule="exact"/>
              <w:jc w:val="center"/>
              <w:rPr>
                <w:rFonts w:ascii="宋体" w:hAnsi="宋体" w:cs="宋体"/>
                <w:sz w:val="24"/>
                <w:szCs w:val="24"/>
                <w:highlight w:val="yellow"/>
              </w:rPr>
            </w:pPr>
            <w:r>
              <w:rPr>
                <w:rFonts w:hint="eastAsia" w:ascii="宋体" w:hAnsi="宋体" w:cs="宋体"/>
                <w:sz w:val="24"/>
                <w:szCs w:val="24"/>
              </w:rPr>
              <w:t>投标人资质条件、能力和信誉</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资质等级：</w:t>
            </w:r>
            <w:r>
              <w:rPr>
                <w:rFonts w:hint="eastAsia" w:ascii="宋体" w:hAnsi="宋体" w:cs="宋体"/>
                <w:sz w:val="24"/>
                <w:szCs w:val="24"/>
                <w:lang w:eastAsia="zh-CN"/>
              </w:rPr>
              <w:t>无</w:t>
            </w:r>
            <w:r>
              <w:rPr>
                <w:rFonts w:hint="eastAsia" w:ascii="宋体" w:hAnsi="宋体" w:cs="宋体"/>
                <w:sz w:val="24"/>
                <w:szCs w:val="24"/>
              </w:rPr>
              <w:t>。</w:t>
            </w:r>
          </w:p>
          <w:p>
            <w:pPr>
              <w:snapToGrid w:val="0"/>
              <w:spacing w:before="0" w:after="0" w:line="400" w:lineRule="exact"/>
              <w:rPr>
                <w:rFonts w:ascii="宋体" w:hAnsi="宋体" w:cs="宋体"/>
                <w:sz w:val="24"/>
                <w:szCs w:val="24"/>
              </w:rPr>
            </w:pPr>
            <w:r>
              <w:rPr>
                <w:rFonts w:hint="eastAsia" w:ascii="宋体" w:hAnsi="宋体" w:cs="宋体"/>
                <w:sz w:val="24"/>
                <w:szCs w:val="24"/>
              </w:rPr>
              <w:t>财务要求：近</w:t>
            </w:r>
            <w:r>
              <w:rPr>
                <w:rFonts w:hint="eastAsia" w:ascii="宋体" w:hAnsi="宋体" w:cs="宋体"/>
                <w:sz w:val="24"/>
                <w:szCs w:val="24"/>
                <w:u w:val="single"/>
              </w:rPr>
              <w:t>3</w:t>
            </w:r>
            <w:r>
              <w:rPr>
                <w:rFonts w:hint="eastAsia" w:ascii="宋体" w:hAnsi="宋体" w:cs="宋体"/>
                <w:sz w:val="24"/>
                <w:szCs w:val="24"/>
              </w:rPr>
              <w:t>年（2017-2019年）财务状况良好。</w:t>
            </w:r>
          </w:p>
          <w:p>
            <w:pPr>
              <w:snapToGrid w:val="0"/>
              <w:spacing w:before="0" w:after="0" w:line="400" w:lineRule="exact"/>
              <w:rPr>
                <w:rFonts w:ascii="宋体" w:hAnsi="宋体" w:cs="宋体"/>
                <w:sz w:val="24"/>
                <w:szCs w:val="24"/>
              </w:rPr>
            </w:pPr>
            <w:r>
              <w:rPr>
                <w:rFonts w:hint="eastAsia" w:ascii="宋体" w:hAnsi="宋体" w:cs="宋体"/>
                <w:sz w:val="24"/>
                <w:szCs w:val="24"/>
              </w:rPr>
              <w:t>类似业绩：近</w:t>
            </w:r>
            <w:r>
              <w:rPr>
                <w:rFonts w:hint="eastAsia" w:ascii="宋体" w:hAnsi="宋体" w:cs="宋体"/>
                <w:sz w:val="24"/>
                <w:szCs w:val="24"/>
                <w:u w:val="single"/>
              </w:rPr>
              <w:t>3</w:t>
            </w:r>
            <w:r>
              <w:rPr>
                <w:rFonts w:hint="eastAsia" w:ascii="宋体" w:hAnsi="宋体" w:cs="宋体"/>
                <w:sz w:val="24"/>
                <w:szCs w:val="24"/>
              </w:rPr>
              <w:t>年（2017-2019年）类似物业服务业绩至少1个。</w:t>
            </w:r>
          </w:p>
          <w:p>
            <w:pPr>
              <w:snapToGrid w:val="0"/>
              <w:spacing w:before="0" w:after="0" w:line="400" w:lineRule="exact"/>
              <w:rPr>
                <w:rFonts w:ascii="宋体" w:hAnsi="宋体" w:cs="宋体"/>
                <w:sz w:val="24"/>
                <w:szCs w:val="24"/>
              </w:rPr>
            </w:pPr>
            <w:r>
              <w:rPr>
                <w:rFonts w:hint="eastAsia" w:ascii="宋体" w:hAnsi="宋体" w:cs="宋体"/>
                <w:sz w:val="24"/>
                <w:szCs w:val="24"/>
              </w:rPr>
              <w:t>信誉要求：没有处于投标禁入期。</w:t>
            </w:r>
          </w:p>
          <w:p>
            <w:pPr>
              <w:snapToGrid w:val="0"/>
              <w:spacing w:before="0" w:after="0" w:line="400" w:lineRule="exact"/>
              <w:rPr>
                <w:rFonts w:ascii="宋体" w:hAnsi="宋体" w:cs="宋体"/>
                <w:sz w:val="24"/>
                <w:szCs w:val="24"/>
                <w:highlight w:val="yellow"/>
              </w:rPr>
            </w:pPr>
            <w:r>
              <w:rPr>
                <w:rFonts w:hint="eastAsia" w:ascii="宋体" w:hAnsi="宋体" w:cs="宋体"/>
                <w:sz w:val="24"/>
                <w:szCs w:val="24"/>
              </w:rPr>
              <w:t>主要人员：项目经理至少担任过一个项目物业管理项目经理经历。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11</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限制投标的情形</w:t>
            </w:r>
          </w:p>
        </w:tc>
        <w:tc>
          <w:tcPr>
            <w:tcW w:w="6052" w:type="dxa"/>
            <w:vAlign w:val="center"/>
          </w:tcPr>
          <w:p>
            <w:pPr>
              <w:snapToGrid w:val="0"/>
              <w:spacing w:before="0" w:after="0" w:line="240" w:lineRule="auto"/>
              <w:jc w:val="left"/>
              <w:rPr>
                <w:rFonts w:ascii="宋体" w:hAnsi="宋体" w:cs="宋体"/>
                <w:sz w:val="24"/>
                <w:szCs w:val="24"/>
              </w:rPr>
            </w:pPr>
            <w:r>
              <w:rPr>
                <w:rFonts w:hint="eastAsia" w:ascii="宋体" w:hAnsi="宋体" w:cs="宋体"/>
                <w:sz w:val="24"/>
                <w:szCs w:val="24"/>
              </w:rPr>
              <w:t>在国家相关管理机构（包括中国执行信息公开网shixin.court.gov.cn、国家发展和改革委员会信用中国www.creditchina.gov.cn）公布的失信被执行人名单内。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3"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12</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联合体</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不接受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9"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13</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踏勘现场</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不组织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4"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14</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答疑会</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1"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15</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投标人要求澄清招标文件的截止时间</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在提交投标文件截止时间16天前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16</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招标人回复澄清的截止时间</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在提交投标文件截止时间15天前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17</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招标文件的修改</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在提交投标文件截止时间15天前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18</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分包</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专业分包须事先经招标人同意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8"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19</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偏离</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不允许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20</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构成招标文件的其他文件</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招标文件的澄清、修改书及有关补充通知为招标文件的有效组成部分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21</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投标有效期</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招标截止日期后</w:t>
            </w:r>
            <w:r>
              <w:rPr>
                <w:rFonts w:hint="eastAsia" w:ascii="宋体" w:hAnsi="宋体" w:cs="宋体"/>
                <w:sz w:val="24"/>
                <w:szCs w:val="24"/>
                <w:u w:val="single"/>
              </w:rPr>
              <w:t xml:space="preserve"> 90</w:t>
            </w:r>
            <w:r>
              <w:rPr>
                <w:rFonts w:hint="eastAsia" w:ascii="宋体" w:hAnsi="宋体" w:cs="宋体"/>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38"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22</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签字盖章</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（1）所有要求签字的地方都应用不褪色的墨水或签字笔由本人亲笔手写签字(包括姓和名)，不得用盖章（如签名章、签字章等）代替，也不得由他人代签。</w:t>
            </w:r>
          </w:p>
          <w:p>
            <w:pPr>
              <w:snapToGrid w:val="0"/>
              <w:spacing w:before="0" w:after="0" w:line="400" w:lineRule="exact"/>
              <w:rPr>
                <w:rFonts w:ascii="宋体" w:hAnsi="宋体" w:cs="宋体"/>
                <w:sz w:val="24"/>
                <w:szCs w:val="24"/>
              </w:rPr>
            </w:pPr>
            <w:r>
              <w:rPr>
                <w:rFonts w:hint="eastAsia" w:ascii="宋体" w:hAnsi="宋体" w:cs="宋体"/>
                <w:sz w:val="24"/>
                <w:szCs w:val="24"/>
              </w:rPr>
              <w:t>（2）所有要求盖章的地方都应加盖投标人单位（法定名称）章（鲜章）,不得使用专用印章（如经济合同章、投标专用章等）或下属单位印章代替。投标工程量清单需全部盖鲜章。</w:t>
            </w:r>
          </w:p>
          <w:p>
            <w:pPr>
              <w:snapToGrid w:val="0"/>
              <w:spacing w:before="0" w:after="0" w:line="400" w:lineRule="exact"/>
              <w:rPr>
                <w:rFonts w:ascii="宋体" w:hAnsi="宋体" w:cs="宋体"/>
                <w:sz w:val="24"/>
                <w:szCs w:val="24"/>
              </w:rPr>
            </w:pPr>
            <w:r>
              <w:rPr>
                <w:rFonts w:hint="eastAsia" w:ascii="宋体" w:hAnsi="宋体" w:cs="宋体"/>
                <w:sz w:val="24"/>
                <w:szCs w:val="24"/>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23</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投标文件份数</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正本</w:t>
            </w:r>
            <w:r>
              <w:rPr>
                <w:rFonts w:hint="eastAsia" w:ascii="宋体" w:hAnsi="宋体" w:cs="宋体"/>
                <w:sz w:val="24"/>
                <w:szCs w:val="24"/>
                <w:u w:val="single"/>
              </w:rPr>
              <w:t>1</w:t>
            </w:r>
            <w:r>
              <w:rPr>
                <w:rFonts w:hint="eastAsia" w:ascii="宋体" w:hAnsi="宋体" w:cs="宋体"/>
                <w:sz w:val="24"/>
                <w:szCs w:val="24"/>
              </w:rPr>
              <w:t>份；副本</w:t>
            </w:r>
            <w:r>
              <w:rPr>
                <w:rFonts w:hint="eastAsia" w:ascii="宋体" w:hAnsi="宋体" w:cs="宋体"/>
                <w:sz w:val="24"/>
                <w:szCs w:val="24"/>
                <w:u w:val="single"/>
              </w:rPr>
              <w:t xml:space="preserve"> 2 </w:t>
            </w:r>
            <w:r>
              <w:rPr>
                <w:rFonts w:hint="eastAsia" w:ascii="宋体" w:hAnsi="宋体" w:cs="宋体"/>
                <w:sz w:val="24"/>
                <w:szCs w:val="24"/>
              </w:rPr>
              <w:t>份；装有投标文件电子文档及正本扫描件的U盘</w:t>
            </w:r>
            <w:r>
              <w:rPr>
                <w:rFonts w:hint="eastAsia" w:ascii="宋体" w:hAnsi="宋体" w:cs="宋体"/>
                <w:sz w:val="24"/>
                <w:szCs w:val="24"/>
                <w:u w:val="single"/>
              </w:rPr>
              <w:t>1</w:t>
            </w:r>
            <w:r>
              <w:rPr>
                <w:rFonts w:hint="eastAsia" w:ascii="宋体" w:hAnsi="宋体" w:cs="宋体"/>
                <w:sz w:val="24"/>
                <w:szCs w:val="24"/>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24</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投标文件封面的标注</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投标文件正本和副本的封面上均应标明：招标项目名称、标段号(如涉及则标明)、投标人名称、年月日；并分别在右上角标明“正本”和“副本”字样。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25</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投标文件外层</w:t>
            </w:r>
          </w:p>
          <w:p>
            <w:pPr>
              <w:snapToGrid w:val="0"/>
              <w:spacing w:before="0" w:after="0" w:line="400" w:lineRule="exact"/>
              <w:jc w:val="center"/>
              <w:rPr>
                <w:rFonts w:ascii="宋体" w:hAnsi="宋体" w:cs="宋体"/>
                <w:sz w:val="24"/>
                <w:szCs w:val="24"/>
              </w:rPr>
            </w:pPr>
            <w:r>
              <w:rPr>
                <w:rFonts w:hint="eastAsia" w:ascii="宋体" w:hAnsi="宋体" w:cs="宋体"/>
                <w:sz w:val="24"/>
                <w:szCs w:val="24"/>
              </w:rPr>
              <w:t>密封袋的标注</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招标项目名称、标段号(如涉及则标明)、投标人名称、年月日。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26</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是否授权评审委员会直接确定中标人</w:t>
            </w:r>
          </w:p>
        </w:tc>
        <w:tc>
          <w:tcPr>
            <w:tcW w:w="6052" w:type="dxa"/>
            <w:vAlign w:val="center"/>
          </w:tcPr>
          <w:p>
            <w:pPr>
              <w:snapToGrid w:val="0"/>
              <w:spacing w:before="0" w:after="0" w:line="400" w:lineRule="exact"/>
              <w:rPr>
                <w:rFonts w:ascii="宋体" w:hAnsi="宋体" w:cs="宋体"/>
                <w:sz w:val="24"/>
                <w:szCs w:val="24"/>
              </w:rPr>
            </w:pPr>
            <w:r>
              <w:rPr>
                <w:rFonts w:hint="eastAsia" w:ascii="宋体" w:hAnsi="宋体" w:cs="宋体"/>
                <w:sz w:val="24"/>
                <w:szCs w:val="24"/>
              </w:rPr>
              <w:t>否，推荐中标候选人的数量：</w:t>
            </w:r>
            <w:r>
              <w:rPr>
                <w:rFonts w:hint="eastAsia" w:ascii="宋体" w:hAnsi="宋体" w:cs="宋体"/>
                <w:sz w:val="24"/>
                <w:szCs w:val="24"/>
                <w:u w:val="single"/>
              </w:rPr>
              <w:t xml:space="preserve"> 1～3 </w:t>
            </w:r>
            <w:r>
              <w:rPr>
                <w:rFonts w:hint="eastAsia" w:ascii="宋体" w:hAnsi="宋体" w:cs="宋体"/>
                <w:sz w:val="24"/>
                <w:szCs w:val="24"/>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27</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投标保证金</w:t>
            </w:r>
          </w:p>
        </w:tc>
        <w:tc>
          <w:tcPr>
            <w:tcW w:w="6052" w:type="dxa"/>
            <w:vAlign w:val="center"/>
          </w:tcPr>
          <w:p>
            <w:pPr>
              <w:adjustRightInd w:val="0"/>
              <w:snapToGrid w:val="0"/>
              <w:spacing w:before="0" w:after="0" w:line="240" w:lineRule="auto"/>
              <w:jc w:val="left"/>
              <w:rPr>
                <w:rFonts w:ascii="宋体" w:hAnsi="宋体" w:cs="宋体"/>
                <w:szCs w:val="21"/>
              </w:rPr>
            </w:pPr>
            <w:r>
              <w:rPr>
                <w:rFonts w:hint="eastAsia" w:ascii="宋体" w:hAnsi="宋体" w:cs="宋体"/>
                <w:szCs w:val="21"/>
              </w:rPr>
              <w:t>投标保证金的形式：现金或保函，现金投标保证金必须通过投标人的基本账户以银行转账方式缴纳。</w:t>
            </w:r>
          </w:p>
          <w:p>
            <w:pPr>
              <w:adjustRightInd w:val="0"/>
              <w:snapToGrid w:val="0"/>
              <w:spacing w:before="0" w:after="0" w:line="240" w:lineRule="auto"/>
              <w:jc w:val="left"/>
              <w:rPr>
                <w:rFonts w:ascii="宋体" w:hAnsi="宋体" w:cs="宋体"/>
                <w:szCs w:val="21"/>
              </w:rPr>
            </w:pPr>
            <w:r>
              <w:rPr>
                <w:rFonts w:hint="eastAsia" w:ascii="宋体" w:hAnsi="宋体" w:cs="宋体"/>
                <w:szCs w:val="21"/>
              </w:rPr>
              <w:t>投标保证金的金额：</w:t>
            </w:r>
            <w:r>
              <w:rPr>
                <w:rFonts w:hint="eastAsia" w:ascii="宋体" w:hAnsi="宋体" w:cs="宋体"/>
                <w:szCs w:val="21"/>
                <w:u w:val="single"/>
              </w:rPr>
              <w:t>1</w:t>
            </w:r>
            <w:r>
              <w:rPr>
                <w:rFonts w:hint="eastAsia" w:ascii="宋体" w:hAnsi="宋体" w:cs="宋体"/>
                <w:szCs w:val="21"/>
                <w:u w:val="single"/>
                <w:lang w:val="en-US" w:eastAsia="zh-CN"/>
              </w:rPr>
              <w:t>0</w:t>
            </w:r>
            <w:r>
              <w:rPr>
                <w:rFonts w:hint="eastAsia" w:ascii="宋体" w:hAnsi="宋体" w:cs="宋体"/>
                <w:szCs w:val="21"/>
                <w:u w:val="single"/>
              </w:rPr>
              <w:t>.00</w:t>
            </w:r>
            <w:r>
              <w:rPr>
                <w:rFonts w:hint="eastAsia" w:ascii="宋体" w:hAnsi="宋体" w:cs="宋体"/>
                <w:szCs w:val="21"/>
              </w:rPr>
              <w:t>万元。</w:t>
            </w:r>
          </w:p>
          <w:p>
            <w:pPr>
              <w:adjustRightInd w:val="0"/>
              <w:snapToGrid w:val="0"/>
              <w:spacing w:before="0" w:after="0" w:line="240" w:lineRule="auto"/>
              <w:jc w:val="left"/>
              <w:rPr>
                <w:rFonts w:ascii="宋体" w:hAnsi="宋体" w:cs="宋体"/>
                <w:szCs w:val="21"/>
              </w:rPr>
            </w:pPr>
            <w:r>
              <w:rPr>
                <w:rFonts w:hint="eastAsia" w:ascii="宋体" w:hAnsi="宋体" w:cs="宋体"/>
                <w:szCs w:val="21"/>
              </w:rPr>
              <w:t>转账的投标保证金应在投标文件递交截止时间前到达招标人以下账号：</w:t>
            </w:r>
          </w:p>
          <w:p>
            <w:pPr>
              <w:adjustRightInd w:val="0"/>
              <w:snapToGrid w:val="0"/>
              <w:spacing w:before="0" w:after="0" w:line="240" w:lineRule="auto"/>
              <w:jc w:val="left"/>
              <w:rPr>
                <w:rFonts w:ascii="宋体" w:hAnsi="宋体" w:cs="宋体"/>
                <w:szCs w:val="21"/>
              </w:rPr>
            </w:pPr>
            <w:r>
              <w:rPr>
                <w:rFonts w:hint="eastAsia" w:ascii="宋体" w:hAnsi="宋体" w:cs="宋体"/>
                <w:szCs w:val="21"/>
              </w:rPr>
              <w:t>开户单位：</w:t>
            </w:r>
            <w:r>
              <w:rPr>
                <w:rFonts w:hint="eastAsia" w:ascii="宋体" w:hAnsi="宋体" w:cs="宋体"/>
                <w:szCs w:val="21"/>
                <w:u w:val="single"/>
              </w:rPr>
              <w:t>四川省能投攀枝花水电开发有限公司</w:t>
            </w:r>
          </w:p>
          <w:p>
            <w:pPr>
              <w:adjustRightInd w:val="0"/>
              <w:snapToGrid w:val="0"/>
              <w:spacing w:before="0" w:after="0" w:line="240" w:lineRule="auto"/>
              <w:jc w:val="left"/>
              <w:rPr>
                <w:rFonts w:ascii="Calibri" w:hAnsi="Calibri" w:cs="宋体"/>
                <w:sz w:val="20"/>
                <w:szCs w:val="21"/>
                <w:u w:val="single"/>
              </w:rPr>
            </w:pPr>
            <w:r>
              <w:rPr>
                <w:rFonts w:hint="eastAsia" w:ascii="宋体" w:hAnsi="宋体" w:cs="宋体"/>
                <w:szCs w:val="21"/>
              </w:rPr>
              <w:t>开户银行：</w:t>
            </w:r>
            <w:r>
              <w:rPr>
                <w:rFonts w:hint="eastAsia" w:ascii="Calibri" w:hAnsi="Calibri" w:cs="宋体"/>
                <w:sz w:val="20"/>
                <w:szCs w:val="24"/>
                <w:u w:val="single"/>
              </w:rPr>
              <w:t>中国建设银行攀枝花西区支行</w:t>
            </w:r>
          </w:p>
          <w:p>
            <w:pPr>
              <w:adjustRightInd w:val="0"/>
              <w:snapToGrid w:val="0"/>
              <w:spacing w:before="0" w:after="0" w:line="240" w:lineRule="auto"/>
              <w:jc w:val="left"/>
              <w:rPr>
                <w:rFonts w:ascii="宋体" w:hAnsi="宋体" w:cs="宋体"/>
                <w:szCs w:val="21"/>
              </w:rPr>
            </w:pPr>
            <w:r>
              <w:rPr>
                <w:rFonts w:hint="eastAsia" w:ascii="宋体" w:hAnsi="宋体" w:cs="宋体"/>
                <w:szCs w:val="21"/>
              </w:rPr>
              <w:t>账    号：</w:t>
            </w:r>
            <w:r>
              <w:rPr>
                <w:rFonts w:hint="eastAsia" w:ascii="宋体" w:hAnsi="宋体" w:cs="宋体"/>
                <w:sz w:val="24"/>
                <w:szCs w:val="24"/>
                <w:u w:val="single"/>
              </w:rPr>
              <w:t>51001627438059555666</w:t>
            </w:r>
          </w:p>
          <w:p>
            <w:pPr>
              <w:adjustRightInd w:val="0"/>
              <w:snapToGrid w:val="0"/>
              <w:spacing w:before="0" w:after="0" w:line="240" w:lineRule="auto"/>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 xml:space="preserve">    /    </w:t>
            </w:r>
          </w:p>
          <w:p>
            <w:pPr>
              <w:adjustRightInd w:val="0"/>
              <w:snapToGrid w:val="0"/>
              <w:spacing w:before="0" w:after="0" w:line="240" w:lineRule="auto"/>
              <w:jc w:val="left"/>
              <w:rPr>
                <w:rFonts w:ascii="宋体" w:hAnsi="宋体" w:cs="宋体"/>
                <w:szCs w:val="21"/>
              </w:rPr>
            </w:pPr>
            <w:r>
              <w:rPr>
                <w:rFonts w:hint="eastAsia" w:ascii="宋体" w:hAnsi="宋体" w:cs="宋体"/>
                <w:szCs w:val="21"/>
              </w:rPr>
              <w:t>投标人有下列情形之一的，招标人将没收投标人的投标保证金：</w:t>
            </w:r>
          </w:p>
          <w:p>
            <w:pPr>
              <w:adjustRightInd w:val="0"/>
              <w:snapToGrid w:val="0"/>
              <w:spacing w:before="0" w:after="0" w:line="240" w:lineRule="auto"/>
              <w:jc w:val="left"/>
              <w:rPr>
                <w:rFonts w:ascii="宋体" w:hAnsi="宋体" w:cs="宋体"/>
                <w:szCs w:val="21"/>
              </w:rPr>
            </w:pPr>
            <w:r>
              <w:rPr>
                <w:rFonts w:hint="eastAsia" w:ascii="宋体" w:hAnsi="宋体" w:cs="宋体"/>
                <w:szCs w:val="21"/>
              </w:rPr>
              <w:t>A.无正当理由不按规定提交履约担保的；</w:t>
            </w:r>
          </w:p>
          <w:p>
            <w:pPr>
              <w:snapToGrid w:val="0"/>
              <w:spacing w:before="0" w:after="0" w:line="240" w:lineRule="auto"/>
              <w:rPr>
                <w:rFonts w:ascii="宋体" w:hAnsi="宋体" w:cs="宋体"/>
                <w:sz w:val="24"/>
                <w:szCs w:val="24"/>
              </w:rPr>
            </w:pPr>
            <w:r>
              <w:rPr>
                <w:rFonts w:ascii="宋体" w:hAnsi="宋体" w:cs="宋体"/>
                <w:szCs w:val="21"/>
              </w:rPr>
              <w:t>B.</w:t>
            </w:r>
            <w:r>
              <w:rPr>
                <w:rFonts w:hint="eastAsia" w:ascii="宋体" w:hAnsi="宋体" w:cs="宋体"/>
                <w:szCs w:val="21"/>
              </w:rPr>
              <w:t>在收到中标通知书后无正当理由拒签合同或不在规定时间内签订合同的。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28</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投标保证金退还</w:t>
            </w:r>
          </w:p>
        </w:tc>
        <w:tc>
          <w:tcPr>
            <w:tcW w:w="6052" w:type="dxa"/>
            <w:vAlign w:val="center"/>
          </w:tcPr>
          <w:p>
            <w:pPr>
              <w:adjustRightInd w:val="0"/>
              <w:snapToGrid w:val="0"/>
              <w:spacing w:before="0" w:after="0" w:line="240" w:lineRule="auto"/>
              <w:rPr>
                <w:rFonts w:ascii="宋体" w:hAnsi="宋体" w:cs="宋体"/>
                <w:szCs w:val="21"/>
              </w:rPr>
            </w:pPr>
            <w:r>
              <w:rPr>
                <w:rFonts w:hint="eastAsia" w:ascii="宋体" w:hAnsi="宋体" w:cs="宋体"/>
                <w:szCs w:val="21"/>
              </w:rPr>
              <w:t>如没有出现投标保证金按规定应被没收的情形，未中标人的投标保证金，将在中标通知书发出后五个工作日内全额退还。中标人的投标保证金，在合同签订前按规定交纳了履约保证金后五个工作日内全额退还。</w:t>
            </w:r>
          </w:p>
          <w:p>
            <w:pPr>
              <w:snapToGrid w:val="0"/>
              <w:spacing w:before="0" w:after="0" w:line="240" w:lineRule="auto"/>
              <w:rPr>
                <w:rFonts w:ascii="宋体" w:hAnsi="宋体" w:cs="宋体"/>
                <w:sz w:val="24"/>
                <w:szCs w:val="24"/>
              </w:rPr>
            </w:pPr>
            <w:r>
              <w:rPr>
                <w:rFonts w:hint="eastAsia" w:ascii="宋体" w:hAnsi="宋体" w:cs="宋体"/>
                <w:szCs w:val="21"/>
              </w:rPr>
              <w:t>投标人因涉嫌违法违规被主管部门调查的，主管部门可以书面通知招标人暂时冻结投标人的投标保证金。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28</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招标控制价</w:t>
            </w:r>
          </w:p>
        </w:tc>
        <w:tc>
          <w:tcPr>
            <w:tcW w:w="6052" w:type="dxa"/>
            <w:vAlign w:val="center"/>
          </w:tcPr>
          <w:p>
            <w:pPr>
              <w:snapToGrid w:val="0"/>
              <w:spacing w:before="0" w:after="0" w:line="240" w:lineRule="exact"/>
              <w:rPr>
                <w:rFonts w:ascii="宋体" w:hAnsi="宋体" w:cs="宋体"/>
                <w:sz w:val="24"/>
                <w:szCs w:val="24"/>
              </w:rPr>
            </w:pPr>
            <w:r>
              <w:rPr>
                <w:rFonts w:hint="eastAsia" w:ascii="宋体" w:hAnsi="宋体" w:cs="宋体"/>
                <w:szCs w:val="21"/>
                <w:highlight w:val="none"/>
              </w:rPr>
              <w:t>本次招标最高限价为：</w:t>
            </w:r>
            <w:r>
              <w:rPr>
                <w:rFonts w:hint="eastAsia" w:ascii="宋体" w:hAnsi="宋体" w:cs="宋体"/>
                <w:szCs w:val="21"/>
                <w:highlight w:val="none"/>
                <w:u w:val="single"/>
                <w:lang w:val="en-US" w:eastAsia="zh-CN"/>
              </w:rPr>
              <w:t>649.76</w:t>
            </w:r>
            <w:r>
              <w:rPr>
                <w:rFonts w:hint="eastAsia" w:ascii="宋体" w:hAnsi="宋体" w:cs="宋体"/>
                <w:szCs w:val="21"/>
                <w:highlight w:val="none"/>
              </w:rPr>
              <w:t>万元（其中含暂列金</w:t>
            </w:r>
            <w:r>
              <w:rPr>
                <w:rFonts w:hint="eastAsia" w:ascii="宋体" w:hAnsi="宋体" w:cs="宋体"/>
                <w:szCs w:val="21"/>
                <w:highlight w:val="none"/>
                <w:u w:val="single"/>
                <w:lang w:val="en-US" w:eastAsia="zh-CN"/>
              </w:rPr>
              <w:t>70</w:t>
            </w:r>
            <w:r>
              <w:rPr>
                <w:rFonts w:hint="eastAsia" w:ascii="宋体" w:hAnsi="宋体" w:cs="宋体"/>
                <w:szCs w:val="21"/>
                <w:highlight w:val="none"/>
              </w:rPr>
              <w:t>万元，暂列金没有得到招标人的许可不得使用），超过最高限价将做废标处理。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05"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29</w:t>
            </w:r>
          </w:p>
        </w:tc>
        <w:tc>
          <w:tcPr>
            <w:tcW w:w="2372" w:type="dxa"/>
            <w:vAlign w:val="center"/>
          </w:tcPr>
          <w:p>
            <w:pPr>
              <w:snapToGrid w:val="0"/>
              <w:spacing w:before="0" w:after="0" w:line="400" w:lineRule="exact"/>
              <w:jc w:val="center"/>
              <w:rPr>
                <w:rFonts w:ascii="宋体" w:hAnsi="宋体" w:cs="宋体"/>
                <w:sz w:val="24"/>
                <w:szCs w:val="24"/>
              </w:rPr>
            </w:pPr>
            <w:r>
              <w:rPr>
                <w:rFonts w:hint="eastAsia" w:ascii="宋体" w:hAnsi="宋体" w:cs="宋体"/>
                <w:sz w:val="24"/>
                <w:szCs w:val="24"/>
              </w:rPr>
              <w:t>履约保函</w:t>
            </w:r>
          </w:p>
        </w:tc>
        <w:tc>
          <w:tcPr>
            <w:tcW w:w="6052" w:type="dxa"/>
            <w:vAlign w:val="center"/>
          </w:tcPr>
          <w:p>
            <w:pPr>
              <w:adjustRightInd w:val="0"/>
              <w:snapToGrid w:val="0"/>
              <w:spacing w:before="0" w:after="0" w:line="240" w:lineRule="auto"/>
              <w:rPr>
                <w:rFonts w:ascii="宋体" w:hAnsi="宋体" w:cs="宋体"/>
                <w:szCs w:val="21"/>
              </w:rPr>
            </w:pPr>
            <w:r>
              <w:rPr>
                <w:rFonts w:hint="eastAsia" w:ascii="宋体" w:hAnsi="宋体" w:cs="宋体"/>
                <w:szCs w:val="21"/>
              </w:rPr>
              <w:t>履约保证金为中标价的</w:t>
            </w:r>
            <w:r>
              <w:rPr>
                <w:rFonts w:hint="eastAsia" w:ascii="宋体" w:hAnsi="宋体" w:cs="宋体"/>
                <w:szCs w:val="21"/>
                <w:u w:val="single"/>
                <w:lang w:val="en-US" w:eastAsia="zh-CN"/>
              </w:rPr>
              <w:t>10</w:t>
            </w:r>
            <w:r>
              <w:rPr>
                <w:rFonts w:hint="eastAsia" w:ascii="宋体" w:hAnsi="宋体" w:cs="宋体"/>
                <w:szCs w:val="21"/>
              </w:rPr>
              <w:t>%（不含暂列金）。</w:t>
            </w:r>
          </w:p>
          <w:p>
            <w:pPr>
              <w:snapToGrid w:val="0"/>
              <w:spacing w:before="0" w:after="0" w:line="240" w:lineRule="auto"/>
              <w:rPr>
                <w:rFonts w:ascii="宋体" w:hAnsi="宋体" w:cs="宋体"/>
                <w:sz w:val="24"/>
                <w:szCs w:val="24"/>
              </w:rPr>
            </w:pPr>
            <w:r>
              <w:rPr>
                <w:rFonts w:hint="eastAsia" w:ascii="宋体" w:hAnsi="宋体" w:cs="宋体"/>
                <w:szCs w:val="21"/>
              </w:rPr>
              <w:t>履约保证金为现金或保函。</w:t>
            </w:r>
          </w:p>
        </w:tc>
      </w:tr>
    </w:tbl>
    <w:p>
      <w:pPr>
        <w:pStyle w:val="5"/>
        <w:tabs>
          <w:tab w:val="left" w:pos="4573"/>
        </w:tabs>
        <w:spacing w:before="0" w:after="0" w:line="360" w:lineRule="auto"/>
        <w:ind w:firstLine="480"/>
        <w:rPr>
          <w:rFonts w:ascii="宋体" w:hAnsi="宋体" w:cs="宋体"/>
          <w:szCs w:val="24"/>
        </w:rPr>
      </w:pPr>
      <w:r>
        <w:rPr>
          <w:rFonts w:hint="eastAsia" w:ascii="宋体" w:hAnsi="宋体" w:cs="宋体"/>
          <w:snapToGrid w:val="0"/>
          <w:szCs w:val="24"/>
        </w:rPr>
        <w:br w:type="page"/>
      </w:r>
      <w:bookmarkStart w:id="27" w:name="_Toc20418"/>
      <w:r>
        <w:rPr>
          <w:rFonts w:hint="eastAsia" w:ascii="宋体" w:hAnsi="宋体" w:cs="宋体"/>
          <w:szCs w:val="24"/>
        </w:rPr>
        <w:t>1. 适用范围</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1.1 本招标文件仅适用于本次招标所叙述的项目招标。</w:t>
      </w:r>
    </w:p>
    <w:p>
      <w:pPr>
        <w:pStyle w:val="5"/>
        <w:tabs>
          <w:tab w:val="left" w:pos="4573"/>
        </w:tabs>
        <w:spacing w:before="0" w:after="0" w:line="360" w:lineRule="auto"/>
        <w:ind w:firstLine="480"/>
        <w:rPr>
          <w:rFonts w:ascii="宋体" w:hAnsi="宋体" w:cs="宋体"/>
          <w:szCs w:val="24"/>
        </w:rPr>
      </w:pPr>
      <w:bookmarkStart w:id="28" w:name="_Toc183682343"/>
      <w:bookmarkStart w:id="29" w:name="_Toc183582206"/>
      <w:bookmarkStart w:id="30" w:name="_Toc325464816"/>
      <w:bookmarkStart w:id="31" w:name="_Toc325096467"/>
      <w:bookmarkStart w:id="32" w:name="_Toc217446035"/>
      <w:bookmarkStart w:id="33" w:name="_Toc317509232"/>
      <w:bookmarkStart w:id="34" w:name="_Toc317509385"/>
      <w:r>
        <w:rPr>
          <w:rFonts w:hint="eastAsia" w:ascii="宋体" w:hAnsi="宋体" w:cs="宋体"/>
          <w:szCs w:val="24"/>
        </w:rPr>
        <w:t xml:space="preserve">2. </w:t>
      </w:r>
      <w:bookmarkEnd w:id="28"/>
      <w:bookmarkEnd w:id="29"/>
      <w:r>
        <w:rPr>
          <w:rFonts w:hint="eastAsia" w:ascii="宋体" w:hAnsi="宋体" w:cs="宋体"/>
          <w:szCs w:val="24"/>
        </w:rPr>
        <w:t>有关定义</w:t>
      </w:r>
      <w:bookmarkEnd w:id="30"/>
      <w:bookmarkEnd w:id="31"/>
      <w:bookmarkEnd w:id="32"/>
      <w:bookmarkEnd w:id="33"/>
      <w:bookmarkEnd w:id="34"/>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2.1 本次招标的招标人是</w:t>
      </w:r>
      <w:r>
        <w:rPr>
          <w:rFonts w:hint="eastAsia" w:ascii="宋体" w:hAnsi="宋体" w:cs="宋体"/>
          <w:sz w:val="24"/>
          <w:szCs w:val="24"/>
          <w:u w:val="single"/>
        </w:rPr>
        <w:t>四川省能投攀枝花水电开发有限公司</w:t>
      </w:r>
      <w:r>
        <w:rPr>
          <w:rFonts w:hint="eastAsia" w:ascii="宋体" w:hAnsi="宋体" w:cs="宋体"/>
          <w:sz w:val="24"/>
          <w:szCs w:val="24"/>
        </w:rPr>
        <w:t xml:space="preserve">。 </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2.2“招标人”系指“招标单位”和“招标承办单位”的统称。</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2.3“投标人”系指购买了招标文件拟参加招标和向招标人提供相应服务的法人企业或其它组织。</w:t>
      </w:r>
    </w:p>
    <w:p>
      <w:pPr>
        <w:pStyle w:val="5"/>
        <w:tabs>
          <w:tab w:val="left" w:pos="4573"/>
        </w:tabs>
        <w:spacing w:before="0" w:after="0" w:line="360" w:lineRule="auto"/>
        <w:ind w:firstLine="480"/>
        <w:rPr>
          <w:rFonts w:ascii="宋体" w:hAnsi="宋体" w:cs="宋体"/>
          <w:szCs w:val="24"/>
        </w:rPr>
      </w:pPr>
      <w:bookmarkStart w:id="35" w:name="_Toc317509386"/>
      <w:bookmarkStart w:id="36" w:name="_Toc183582207"/>
      <w:bookmarkStart w:id="37" w:name="_Toc325464817"/>
      <w:bookmarkStart w:id="38" w:name="_Toc317509233"/>
      <w:bookmarkStart w:id="39" w:name="_Toc183682344"/>
      <w:bookmarkStart w:id="40" w:name="_Toc217446036"/>
      <w:bookmarkStart w:id="41" w:name="_Toc217390843"/>
      <w:bookmarkStart w:id="42" w:name="_Toc325096468"/>
      <w:r>
        <w:rPr>
          <w:rFonts w:hint="eastAsia" w:ascii="宋体" w:hAnsi="宋体" w:cs="宋体"/>
          <w:szCs w:val="24"/>
        </w:rPr>
        <w:t>3. 合格的</w:t>
      </w:r>
      <w:bookmarkEnd w:id="35"/>
      <w:bookmarkEnd w:id="36"/>
      <w:bookmarkEnd w:id="37"/>
      <w:bookmarkEnd w:id="38"/>
      <w:bookmarkEnd w:id="39"/>
      <w:bookmarkEnd w:id="40"/>
      <w:bookmarkEnd w:id="41"/>
      <w:bookmarkEnd w:id="42"/>
      <w:r>
        <w:rPr>
          <w:rFonts w:hint="eastAsia" w:ascii="宋体" w:hAnsi="宋体" w:cs="宋体"/>
          <w:szCs w:val="24"/>
        </w:rPr>
        <w:t>投标人</w:t>
      </w:r>
    </w:p>
    <w:p>
      <w:pPr>
        <w:tabs>
          <w:tab w:val="left" w:pos="7665"/>
        </w:tabs>
        <w:snapToGrid w:val="0"/>
        <w:spacing w:before="0" w:after="0" w:line="360" w:lineRule="auto"/>
        <w:ind w:firstLine="480" w:firstLineChars="200"/>
        <w:rPr>
          <w:rFonts w:ascii="宋体" w:hAnsi="宋体" w:cs="宋体"/>
          <w:sz w:val="24"/>
          <w:szCs w:val="24"/>
        </w:rPr>
      </w:pPr>
      <w:bookmarkStart w:id="43" w:name="_Toc317509234"/>
      <w:bookmarkStart w:id="44" w:name="_Toc325096469"/>
      <w:bookmarkStart w:id="45" w:name="_Toc183582208"/>
      <w:bookmarkStart w:id="46" w:name="_Toc317509387"/>
      <w:bookmarkStart w:id="47" w:name="_Toc325464818"/>
      <w:bookmarkStart w:id="48" w:name="_Toc183682345"/>
      <w:bookmarkStart w:id="49" w:name="_Toc217446037"/>
      <w:r>
        <w:rPr>
          <w:rFonts w:hint="eastAsia" w:ascii="宋体" w:hAnsi="宋体" w:cs="宋体"/>
          <w:sz w:val="24"/>
          <w:szCs w:val="24"/>
        </w:rPr>
        <w:t>3.1投标人应遵守有关的国家法律、法规和条例，具备本文件中规定的条件：</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（4）具有依法缴纳税收和社会保障资金的良好记录；</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（5）参加此项招标活动前三年内，在经营活动中没有重大违法记录；</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（6）法律、行政法规规定的其他条件；</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（7）具有本招标文件对投标人所规定的资质条件。</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3.2投标人必须是已在中国境内依法登记注册的独立法人或事业单位法人，并且其所持有的由工商行政管理部门所核发的有效的营业执照或事业单位法人资格证书上载明的营业期限剩余时间应当不少于本次招标的相关合同基本义务履行所需期限，或已经提供相关证明材料能够证明具有履约能力。否则，招标人及评审委员会有权拒绝其本次报价。</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3.3依法注册的投标人其注册资金应足以保证本项目实施过程中的风险承担和赔付能力。</w:t>
      </w:r>
    </w:p>
    <w:p>
      <w:pPr>
        <w:pStyle w:val="5"/>
        <w:tabs>
          <w:tab w:val="left" w:pos="4573"/>
        </w:tabs>
        <w:spacing w:before="0" w:after="0" w:line="360" w:lineRule="auto"/>
        <w:ind w:firstLine="480"/>
        <w:rPr>
          <w:rFonts w:ascii="宋体" w:hAnsi="宋体" w:cs="宋体"/>
          <w:szCs w:val="24"/>
        </w:rPr>
      </w:pPr>
      <w:r>
        <w:rPr>
          <w:rFonts w:hint="eastAsia" w:ascii="宋体" w:hAnsi="宋体" w:cs="宋体"/>
          <w:szCs w:val="24"/>
        </w:rPr>
        <w:t>4. 招标费用</w:t>
      </w:r>
      <w:bookmarkEnd w:id="43"/>
      <w:bookmarkEnd w:id="44"/>
      <w:bookmarkEnd w:id="45"/>
      <w:bookmarkEnd w:id="46"/>
      <w:bookmarkEnd w:id="47"/>
      <w:bookmarkEnd w:id="48"/>
      <w:bookmarkEnd w:id="49"/>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4.1投标人参加招标的有关一切费用由投标人自行承担。</w:t>
      </w:r>
    </w:p>
    <w:p>
      <w:pPr>
        <w:pStyle w:val="5"/>
        <w:tabs>
          <w:tab w:val="left" w:pos="4573"/>
        </w:tabs>
        <w:spacing w:before="0" w:after="0" w:line="360" w:lineRule="auto"/>
        <w:ind w:firstLine="480"/>
        <w:rPr>
          <w:rFonts w:ascii="宋体" w:hAnsi="宋体" w:cs="宋体"/>
          <w:szCs w:val="24"/>
        </w:rPr>
      </w:pPr>
      <w:bookmarkStart w:id="50" w:name="_Toc317509236"/>
      <w:bookmarkStart w:id="51" w:name="_Toc183682347"/>
      <w:bookmarkStart w:id="52" w:name="_Toc183582210"/>
      <w:bookmarkStart w:id="53" w:name="_Toc317509389"/>
      <w:bookmarkStart w:id="54" w:name="_Toc325096471"/>
      <w:bookmarkStart w:id="55" w:name="_Toc325464820"/>
      <w:bookmarkStart w:id="56" w:name="_Toc217446039"/>
      <w:r>
        <w:rPr>
          <w:rFonts w:hint="eastAsia" w:ascii="宋体" w:hAnsi="宋体" w:cs="宋体"/>
          <w:szCs w:val="24"/>
        </w:rPr>
        <w:t>5．招标文件的构成</w:t>
      </w:r>
      <w:bookmarkEnd w:id="50"/>
      <w:bookmarkEnd w:id="51"/>
      <w:bookmarkEnd w:id="52"/>
      <w:bookmarkEnd w:id="53"/>
      <w:bookmarkEnd w:id="54"/>
      <w:bookmarkEnd w:id="55"/>
      <w:bookmarkEnd w:id="56"/>
      <w:r>
        <w:rPr>
          <w:rFonts w:hint="eastAsia" w:ascii="宋体" w:hAnsi="宋体" w:cs="宋体"/>
          <w:szCs w:val="24"/>
        </w:rPr>
        <w:t xml:space="preserve">  </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5.1 招标文件用以阐明招标项目所需的资质、技术、服务、设备及报价等要求、招标程序、有关规定和注意事项以及合同主要条款等。本招标文件包括以下内容：</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（1）招标公告</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（2）投标须知及前附表</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（3）评标办法</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（4）合同条款及格式</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（5）招标人要求</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（6）投标文件格式</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5.2 投标人应认真阅读和充分理解招标文件中所有的事项、格式条款和规范要求。投标人没有按照招标文件要求作出实质性响应的投标文件将被拒绝。</w:t>
      </w:r>
    </w:p>
    <w:p>
      <w:pPr>
        <w:pStyle w:val="5"/>
        <w:tabs>
          <w:tab w:val="left" w:pos="4573"/>
        </w:tabs>
        <w:spacing w:before="0" w:after="0" w:line="360" w:lineRule="auto"/>
        <w:ind w:firstLine="480"/>
        <w:rPr>
          <w:rFonts w:ascii="宋体" w:hAnsi="宋体" w:cs="宋体"/>
          <w:szCs w:val="24"/>
        </w:rPr>
      </w:pPr>
      <w:bookmarkStart w:id="57" w:name="_Toc183582211"/>
      <w:bookmarkStart w:id="58" w:name="_Toc183682348"/>
      <w:bookmarkStart w:id="59" w:name="_Toc217446040"/>
      <w:bookmarkStart w:id="60" w:name="_Toc317509237"/>
      <w:bookmarkStart w:id="61" w:name="_Toc325096472"/>
      <w:bookmarkStart w:id="62" w:name="_Toc317509390"/>
      <w:bookmarkStart w:id="63" w:name="_Toc325464821"/>
      <w:r>
        <w:rPr>
          <w:rFonts w:hint="eastAsia" w:ascii="宋体" w:hAnsi="宋体" w:cs="宋体"/>
          <w:szCs w:val="24"/>
        </w:rPr>
        <w:t>6. 招标文件的澄清</w:t>
      </w:r>
      <w:bookmarkEnd w:id="57"/>
      <w:bookmarkEnd w:id="58"/>
      <w:r>
        <w:rPr>
          <w:rFonts w:hint="eastAsia" w:ascii="宋体" w:hAnsi="宋体" w:cs="宋体"/>
          <w:szCs w:val="24"/>
        </w:rPr>
        <w:t>和修改</w:t>
      </w:r>
      <w:bookmarkEnd w:id="59"/>
      <w:bookmarkEnd w:id="60"/>
      <w:bookmarkEnd w:id="61"/>
      <w:bookmarkEnd w:id="62"/>
      <w:bookmarkEnd w:id="63"/>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6.1 在招标截止时间前，招标人无论出于何种原因，可以对招标文件进行澄清或者修改。</w:t>
      </w:r>
    </w:p>
    <w:p>
      <w:pPr>
        <w:pStyle w:val="5"/>
        <w:tabs>
          <w:tab w:val="left" w:pos="4573"/>
        </w:tabs>
        <w:spacing w:before="0" w:after="0" w:line="360" w:lineRule="auto"/>
        <w:ind w:firstLine="480"/>
        <w:rPr>
          <w:rFonts w:ascii="宋体" w:hAnsi="宋体" w:cs="宋体"/>
          <w:szCs w:val="24"/>
        </w:rPr>
      </w:pPr>
      <w:bookmarkStart w:id="64" w:name="_Toc183682350"/>
      <w:bookmarkStart w:id="65" w:name="_Toc183582213"/>
      <w:bookmarkStart w:id="66" w:name="_Toc325464822"/>
      <w:bookmarkStart w:id="67" w:name="_Toc217446041"/>
      <w:bookmarkStart w:id="68" w:name="_Toc317509391"/>
      <w:bookmarkStart w:id="69" w:name="_Toc208848971"/>
      <w:bookmarkStart w:id="70" w:name="_Toc317509238"/>
      <w:bookmarkStart w:id="71" w:name="_Toc325096473"/>
      <w:bookmarkStart w:id="72" w:name="_Toc89075876"/>
      <w:bookmarkStart w:id="73" w:name="_Toc77400780"/>
      <w:bookmarkStart w:id="74" w:name="_Toc217446042"/>
      <w:bookmarkStart w:id="75" w:name="_Toc183682351"/>
      <w:bookmarkStart w:id="76" w:name="_Toc183582214"/>
      <w:r>
        <w:rPr>
          <w:rFonts w:hint="eastAsia" w:ascii="宋体" w:hAnsi="宋体" w:cs="宋体"/>
          <w:szCs w:val="24"/>
        </w:rPr>
        <w:t>7</w:t>
      </w:r>
      <w:bookmarkEnd w:id="64"/>
      <w:bookmarkEnd w:id="65"/>
      <w:r>
        <w:rPr>
          <w:rFonts w:hint="eastAsia" w:ascii="宋体" w:hAnsi="宋体" w:cs="宋体"/>
          <w:szCs w:val="24"/>
        </w:rPr>
        <w:t>. 答疑会</w:t>
      </w:r>
      <w:bookmarkEnd w:id="66"/>
      <w:bookmarkEnd w:id="67"/>
      <w:bookmarkEnd w:id="68"/>
      <w:bookmarkEnd w:id="69"/>
      <w:bookmarkEnd w:id="70"/>
      <w:bookmarkEnd w:id="71"/>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7.1 根据招标项目和具体情况，若有必要召开，将以书面形式通知所有购买了招标文件的投标人。</w:t>
      </w:r>
      <w:bookmarkStart w:id="77" w:name="_Toc325464823"/>
    </w:p>
    <w:bookmarkEnd w:id="72"/>
    <w:bookmarkEnd w:id="73"/>
    <w:bookmarkEnd w:id="74"/>
    <w:bookmarkEnd w:id="75"/>
    <w:bookmarkEnd w:id="76"/>
    <w:bookmarkEnd w:id="77"/>
    <w:p>
      <w:pPr>
        <w:pStyle w:val="5"/>
        <w:tabs>
          <w:tab w:val="left" w:pos="4573"/>
        </w:tabs>
        <w:spacing w:before="0" w:after="0" w:line="360" w:lineRule="auto"/>
        <w:ind w:firstLine="480"/>
        <w:rPr>
          <w:rFonts w:ascii="宋体" w:hAnsi="宋体" w:cs="宋体"/>
          <w:szCs w:val="24"/>
        </w:rPr>
      </w:pPr>
      <w:bookmarkStart w:id="78" w:name="_Toc325464824"/>
      <w:bookmarkStart w:id="79" w:name="_Toc317509240"/>
      <w:bookmarkStart w:id="80" w:name="_Toc317509393"/>
      <w:bookmarkStart w:id="81" w:name="_Toc183682352"/>
      <w:bookmarkStart w:id="82" w:name="_Toc183582215"/>
      <w:bookmarkStart w:id="83" w:name="_Toc217446043"/>
      <w:bookmarkStart w:id="84" w:name="_Toc325096475"/>
      <w:r>
        <w:rPr>
          <w:rFonts w:hint="eastAsia" w:ascii="宋体" w:hAnsi="宋体" w:cs="宋体"/>
          <w:szCs w:val="24"/>
        </w:rPr>
        <w:t>8．投标文件的语言</w:t>
      </w:r>
      <w:bookmarkEnd w:id="78"/>
      <w:bookmarkEnd w:id="79"/>
      <w:bookmarkEnd w:id="80"/>
      <w:bookmarkEnd w:id="81"/>
      <w:bookmarkEnd w:id="82"/>
      <w:bookmarkEnd w:id="83"/>
      <w:bookmarkEnd w:id="84"/>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8.1 投标人提交的投标文件以及投标人与招标人就有关招标的所有来往书面文件均须使用中文。投标文件中如附有外文资料，必须逐一对应翻译成中文并加盖投标人公章后附在相关外文资料后面。</w:t>
      </w:r>
      <w:bookmarkStart w:id="85" w:name="_Toc183582216"/>
      <w:bookmarkStart w:id="86" w:name="_Toc183682353"/>
      <w:bookmarkStart w:id="87" w:name="_Toc217446044"/>
      <w:bookmarkStart w:id="88" w:name="_Toc325464825"/>
      <w:bookmarkStart w:id="89" w:name="_Toc317509394"/>
      <w:bookmarkStart w:id="90" w:name="_Toc317509241"/>
      <w:bookmarkStart w:id="91" w:name="_Toc325096476"/>
    </w:p>
    <w:p>
      <w:pPr>
        <w:pStyle w:val="5"/>
        <w:tabs>
          <w:tab w:val="left" w:pos="4573"/>
        </w:tabs>
        <w:spacing w:before="0" w:after="0" w:line="360" w:lineRule="auto"/>
        <w:ind w:firstLine="480"/>
        <w:rPr>
          <w:rFonts w:ascii="宋体" w:hAnsi="宋体" w:cs="宋体"/>
          <w:szCs w:val="24"/>
        </w:rPr>
      </w:pPr>
      <w:r>
        <w:rPr>
          <w:rFonts w:hint="eastAsia" w:ascii="宋体" w:hAnsi="宋体" w:cs="宋体"/>
          <w:szCs w:val="24"/>
        </w:rPr>
        <w:t>9．计量单位</w:t>
      </w:r>
      <w:bookmarkEnd w:id="85"/>
      <w:bookmarkEnd w:id="86"/>
      <w:bookmarkEnd w:id="87"/>
      <w:bookmarkEnd w:id="88"/>
      <w:bookmarkEnd w:id="89"/>
      <w:bookmarkEnd w:id="90"/>
      <w:bookmarkEnd w:id="91"/>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9.1除技术规格及要求中另有规定外，本招标项目的招标均采用国家法定的计量单位。</w:t>
      </w:r>
    </w:p>
    <w:p>
      <w:pPr>
        <w:pStyle w:val="5"/>
        <w:tabs>
          <w:tab w:val="left" w:pos="4573"/>
        </w:tabs>
        <w:spacing w:before="0" w:after="0" w:line="360" w:lineRule="auto"/>
        <w:ind w:firstLine="480"/>
        <w:rPr>
          <w:rFonts w:ascii="宋体" w:hAnsi="宋体" w:cs="宋体"/>
          <w:szCs w:val="24"/>
        </w:rPr>
      </w:pPr>
      <w:r>
        <w:rPr>
          <w:rFonts w:hint="eastAsia" w:ascii="宋体" w:hAnsi="宋体" w:cs="宋体"/>
          <w:szCs w:val="24"/>
        </w:rPr>
        <w:t>10. 招标货币</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10.1本次招标项目的招标均以人民币报价。</w:t>
      </w:r>
      <w:bookmarkStart w:id="92" w:name="_Toc217446046"/>
      <w:bookmarkStart w:id="93" w:name="_Toc325096478"/>
      <w:bookmarkStart w:id="94" w:name="_Toc317509396"/>
      <w:bookmarkStart w:id="95" w:name="_Toc317509243"/>
      <w:bookmarkStart w:id="96" w:name="_Toc325464827"/>
    </w:p>
    <w:p>
      <w:pPr>
        <w:pStyle w:val="5"/>
        <w:tabs>
          <w:tab w:val="left" w:pos="4573"/>
        </w:tabs>
        <w:spacing w:before="0" w:after="0" w:line="360" w:lineRule="auto"/>
        <w:ind w:firstLine="480"/>
        <w:rPr>
          <w:rFonts w:ascii="宋体" w:hAnsi="宋体" w:cs="宋体"/>
          <w:szCs w:val="24"/>
        </w:rPr>
      </w:pPr>
      <w:r>
        <w:rPr>
          <w:rFonts w:hint="eastAsia" w:ascii="宋体" w:hAnsi="宋体" w:cs="宋体"/>
          <w:szCs w:val="24"/>
        </w:rPr>
        <w:t>11．联合招标</w:t>
      </w:r>
      <w:bookmarkEnd w:id="92"/>
      <w:bookmarkEnd w:id="93"/>
      <w:bookmarkEnd w:id="94"/>
      <w:bookmarkEnd w:id="95"/>
      <w:bookmarkEnd w:id="96"/>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11.1</w:t>
      </w:r>
      <w:bookmarkStart w:id="97" w:name="_Toc217446047"/>
      <w:r>
        <w:rPr>
          <w:rFonts w:hint="eastAsia" w:ascii="宋体" w:hAnsi="宋体" w:cs="宋体"/>
          <w:sz w:val="24"/>
          <w:szCs w:val="24"/>
        </w:rPr>
        <w:t>不允许联合体参与投标</w:t>
      </w:r>
      <w:bookmarkStart w:id="98" w:name="_Toc325464828"/>
      <w:bookmarkStart w:id="99" w:name="_Toc317509244"/>
      <w:bookmarkStart w:id="100" w:name="_Toc325096479"/>
      <w:bookmarkStart w:id="101" w:name="_Toc317509397"/>
    </w:p>
    <w:p>
      <w:pPr>
        <w:pStyle w:val="5"/>
        <w:tabs>
          <w:tab w:val="left" w:pos="4573"/>
        </w:tabs>
        <w:spacing w:before="0" w:after="0" w:line="360" w:lineRule="auto"/>
        <w:ind w:firstLine="480"/>
        <w:rPr>
          <w:rFonts w:ascii="宋体" w:hAnsi="宋体" w:cs="宋体"/>
          <w:szCs w:val="24"/>
        </w:rPr>
      </w:pPr>
      <w:r>
        <w:rPr>
          <w:rFonts w:hint="eastAsia" w:ascii="宋体" w:hAnsi="宋体" w:cs="宋体"/>
          <w:szCs w:val="24"/>
        </w:rPr>
        <w:t>12．知识产权</w:t>
      </w:r>
      <w:bookmarkEnd w:id="97"/>
      <w:bookmarkEnd w:id="98"/>
      <w:bookmarkEnd w:id="99"/>
      <w:bookmarkEnd w:id="100"/>
      <w:bookmarkEnd w:id="101"/>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bookmarkStart w:id="102" w:name="_Toc183582217"/>
      <w:bookmarkStart w:id="103" w:name="_Toc325464829"/>
      <w:bookmarkStart w:id="104" w:name="_Toc325096480"/>
      <w:bookmarkStart w:id="105" w:name="_Toc183682354"/>
      <w:bookmarkStart w:id="106" w:name="_Toc317509245"/>
      <w:bookmarkStart w:id="107" w:name="_Toc217446048"/>
      <w:bookmarkStart w:id="108" w:name="_Toc317509398"/>
    </w:p>
    <w:p>
      <w:pPr>
        <w:pStyle w:val="5"/>
        <w:tabs>
          <w:tab w:val="left" w:pos="4573"/>
        </w:tabs>
        <w:spacing w:before="0" w:after="0" w:line="360" w:lineRule="auto"/>
        <w:ind w:firstLine="480"/>
        <w:rPr>
          <w:rFonts w:ascii="宋体" w:hAnsi="宋体" w:cs="宋体"/>
          <w:szCs w:val="24"/>
        </w:rPr>
      </w:pPr>
      <w:r>
        <w:rPr>
          <w:rFonts w:hint="eastAsia" w:ascii="宋体" w:hAnsi="宋体" w:cs="宋体"/>
          <w:szCs w:val="24"/>
        </w:rPr>
        <w:t>13．投标文件的组成</w:t>
      </w:r>
      <w:bookmarkEnd w:id="102"/>
      <w:bookmarkEnd w:id="103"/>
      <w:bookmarkEnd w:id="104"/>
      <w:bookmarkEnd w:id="105"/>
      <w:bookmarkEnd w:id="106"/>
      <w:bookmarkEnd w:id="107"/>
      <w:bookmarkEnd w:id="108"/>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1、投标申请函、法定代表人身份证明书、法定代表人授权委托书</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2、报价表</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3、资格审查资料</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4、近几年经审计的财务报表</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5、近几年以来承担同类项目业绩一览表</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6、项目管理机构组成表</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7、拟派主要人员情况表</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8、实施方案</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9、其他资料</w:t>
      </w:r>
    </w:p>
    <w:p>
      <w:pPr>
        <w:pStyle w:val="5"/>
        <w:tabs>
          <w:tab w:val="left" w:pos="4573"/>
        </w:tabs>
        <w:spacing w:before="0" w:after="0" w:line="360" w:lineRule="auto"/>
        <w:ind w:firstLine="480"/>
        <w:rPr>
          <w:rFonts w:ascii="宋体" w:hAnsi="宋体" w:cs="宋体"/>
          <w:szCs w:val="24"/>
        </w:rPr>
      </w:pPr>
      <w:bookmarkStart w:id="109" w:name="_Toc325464830"/>
      <w:bookmarkStart w:id="110" w:name="_Toc317509399"/>
      <w:bookmarkStart w:id="111" w:name="_Toc217446049"/>
      <w:bookmarkStart w:id="112" w:name="_Toc317509246"/>
      <w:bookmarkStart w:id="113" w:name="_Toc183582218"/>
      <w:bookmarkStart w:id="114" w:name="_Toc325096481"/>
      <w:bookmarkStart w:id="115" w:name="_Toc183682355"/>
      <w:r>
        <w:rPr>
          <w:rFonts w:hint="eastAsia" w:ascii="宋体" w:hAnsi="宋体" w:cs="宋体"/>
          <w:szCs w:val="24"/>
        </w:rPr>
        <w:t>14．投标文件格式</w:t>
      </w:r>
      <w:bookmarkEnd w:id="109"/>
      <w:bookmarkEnd w:id="110"/>
      <w:bookmarkEnd w:id="111"/>
      <w:bookmarkEnd w:id="112"/>
      <w:bookmarkEnd w:id="113"/>
      <w:bookmarkEnd w:id="114"/>
      <w:bookmarkEnd w:id="115"/>
    </w:p>
    <w:p>
      <w:pPr>
        <w:tabs>
          <w:tab w:val="left" w:pos="7665"/>
        </w:tabs>
        <w:snapToGrid w:val="0"/>
        <w:spacing w:before="0" w:after="0" w:line="360" w:lineRule="auto"/>
        <w:ind w:firstLine="480" w:firstLineChars="200"/>
        <w:rPr>
          <w:rFonts w:ascii="宋体" w:hAnsi="宋体" w:cs="宋体"/>
          <w:sz w:val="24"/>
          <w:szCs w:val="24"/>
        </w:rPr>
      </w:pPr>
      <w:bookmarkStart w:id="116" w:name="_Toc183582223"/>
      <w:bookmarkStart w:id="117" w:name="_Toc183682360"/>
      <w:bookmarkStart w:id="118" w:name="_Toc217446050"/>
      <w:r>
        <w:rPr>
          <w:rFonts w:hint="eastAsia" w:ascii="宋体" w:hAnsi="宋体" w:cs="宋体"/>
          <w:sz w:val="24"/>
          <w:szCs w:val="24"/>
        </w:rPr>
        <w:t>14.1投标人应严格按照招标文件第六章中提供的“投标文件格式”填写相关内容。除明确允许投标人可以自行编写的外，投标人不得以“投标文件格式”规定之外的方式填写相关内容。</w:t>
      </w:r>
    </w:p>
    <w:p>
      <w:pPr>
        <w:pStyle w:val="5"/>
        <w:tabs>
          <w:tab w:val="left" w:pos="4573"/>
        </w:tabs>
        <w:spacing w:before="0" w:after="0" w:line="360" w:lineRule="auto"/>
        <w:ind w:firstLine="480"/>
        <w:rPr>
          <w:rFonts w:ascii="宋体" w:hAnsi="宋体" w:cs="宋体"/>
          <w:szCs w:val="24"/>
        </w:rPr>
      </w:pPr>
      <w:r>
        <w:rPr>
          <w:rFonts w:hint="eastAsia" w:ascii="宋体" w:hAnsi="宋体" w:cs="宋体"/>
          <w:szCs w:val="24"/>
        </w:rPr>
        <w:t>15．投标保证金</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15.1 本项目不需要投标保证金。</w:t>
      </w:r>
    </w:p>
    <w:bookmarkEnd w:id="116"/>
    <w:bookmarkEnd w:id="117"/>
    <w:bookmarkEnd w:id="118"/>
    <w:p>
      <w:pPr>
        <w:pStyle w:val="5"/>
        <w:tabs>
          <w:tab w:val="left" w:pos="4573"/>
        </w:tabs>
        <w:spacing w:before="0" w:after="0" w:line="360" w:lineRule="auto"/>
        <w:ind w:firstLine="480"/>
        <w:rPr>
          <w:rFonts w:ascii="宋体" w:hAnsi="宋体" w:cs="宋体"/>
          <w:szCs w:val="24"/>
        </w:rPr>
      </w:pPr>
      <w:bookmarkStart w:id="119" w:name="_Toc325096485"/>
      <w:bookmarkStart w:id="120" w:name="_Toc317509403"/>
      <w:bookmarkStart w:id="121" w:name="_Toc183582224"/>
      <w:bookmarkStart w:id="122" w:name="_Toc183682361"/>
      <w:bookmarkStart w:id="123" w:name="_Toc325464834"/>
      <w:bookmarkStart w:id="124" w:name="_Toc317509250"/>
      <w:bookmarkStart w:id="125" w:name="_Toc217446051"/>
      <w:r>
        <w:rPr>
          <w:rFonts w:hint="eastAsia" w:ascii="宋体" w:hAnsi="宋体" w:cs="宋体"/>
          <w:szCs w:val="24"/>
        </w:rPr>
        <w:t>16．投标有效期</w:t>
      </w:r>
      <w:bookmarkEnd w:id="119"/>
      <w:bookmarkEnd w:id="120"/>
      <w:bookmarkEnd w:id="121"/>
      <w:bookmarkEnd w:id="122"/>
      <w:bookmarkEnd w:id="123"/>
      <w:bookmarkEnd w:id="124"/>
      <w:bookmarkEnd w:id="125"/>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16.1 投标有效期见投标须知前附表。投标有效期短于此规定期限的投标申请，将被拒绝。</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16.2 特殊情况下，招标人可于投标有效期满之前要求投标人同意延长有效期，要求与答复均应为书面形式。</w:t>
      </w:r>
    </w:p>
    <w:p>
      <w:pPr>
        <w:pStyle w:val="5"/>
        <w:tabs>
          <w:tab w:val="left" w:pos="4573"/>
        </w:tabs>
        <w:spacing w:before="0" w:after="0" w:line="360" w:lineRule="auto"/>
        <w:ind w:firstLine="480"/>
        <w:rPr>
          <w:rFonts w:ascii="宋体" w:hAnsi="宋体" w:cs="宋体"/>
          <w:szCs w:val="24"/>
        </w:rPr>
      </w:pPr>
      <w:bookmarkStart w:id="126" w:name="_Toc317509251"/>
      <w:bookmarkStart w:id="127" w:name="_Toc325464835"/>
      <w:bookmarkStart w:id="128" w:name="_Toc317509404"/>
      <w:bookmarkStart w:id="129" w:name="_Toc183682362"/>
      <w:bookmarkStart w:id="130" w:name="_Toc217446052"/>
      <w:bookmarkStart w:id="131" w:name="_Toc325096486"/>
      <w:bookmarkStart w:id="132" w:name="_Toc183582225"/>
      <w:r>
        <w:rPr>
          <w:rFonts w:hint="eastAsia" w:ascii="宋体" w:hAnsi="宋体" w:cs="宋体"/>
          <w:szCs w:val="24"/>
        </w:rPr>
        <w:t>17．投标文件的印制和签署</w:t>
      </w:r>
      <w:bookmarkEnd w:id="126"/>
      <w:bookmarkEnd w:id="127"/>
      <w:bookmarkEnd w:id="128"/>
      <w:bookmarkEnd w:id="129"/>
      <w:bookmarkEnd w:id="130"/>
      <w:bookmarkEnd w:id="131"/>
      <w:bookmarkEnd w:id="132"/>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17.1 投标人应按“投标须知前附表”准备投标文件正本、副本。投标文件的正本和副本应在其封面右上角清楚地标明“正本”或“副本”字样。若正本和副本有不一致的内容，以正本书面投标文件为准。</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17.2 投标文件的正本和副本均需打印或用不褪色、不变质的墨水书写，并由投标人的法定代表人或其授权代表在规定签章处签字和盖鲜章。</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17.3 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17.4 投标文件应根据招标文件的要求制作，签署、盖章和内容应完整。</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17.5 投标文件统一用A4幅面纸印制。</w:t>
      </w:r>
    </w:p>
    <w:p>
      <w:pPr>
        <w:pStyle w:val="5"/>
        <w:tabs>
          <w:tab w:val="left" w:pos="4573"/>
        </w:tabs>
        <w:spacing w:before="0" w:after="0" w:line="360" w:lineRule="auto"/>
        <w:ind w:firstLine="480"/>
        <w:rPr>
          <w:rFonts w:ascii="宋体" w:hAnsi="宋体" w:cs="宋体"/>
          <w:szCs w:val="24"/>
        </w:rPr>
      </w:pPr>
      <w:bookmarkStart w:id="133" w:name="_Toc183582226"/>
      <w:bookmarkStart w:id="134" w:name="_Toc183682363"/>
      <w:bookmarkStart w:id="135" w:name="_Toc77400781"/>
      <w:bookmarkStart w:id="136" w:name="_Toc89075877"/>
      <w:bookmarkStart w:id="137" w:name="_Toc317509405"/>
      <w:bookmarkStart w:id="138" w:name="_Toc325096487"/>
      <w:bookmarkStart w:id="139" w:name="_Toc217446053"/>
      <w:bookmarkStart w:id="140" w:name="_Toc325464836"/>
      <w:bookmarkStart w:id="141" w:name="_Toc317509252"/>
      <w:r>
        <w:rPr>
          <w:rFonts w:hint="eastAsia" w:ascii="宋体" w:hAnsi="宋体" w:cs="宋体"/>
          <w:szCs w:val="24"/>
        </w:rPr>
        <w:t>18. 投标文件的密封和标</w:t>
      </w:r>
      <w:bookmarkEnd w:id="133"/>
      <w:bookmarkEnd w:id="134"/>
      <w:bookmarkEnd w:id="135"/>
      <w:bookmarkEnd w:id="136"/>
      <w:r>
        <w:rPr>
          <w:rFonts w:hint="eastAsia" w:ascii="宋体" w:hAnsi="宋体" w:cs="宋体"/>
          <w:szCs w:val="24"/>
        </w:rPr>
        <w:t>注</w:t>
      </w:r>
      <w:bookmarkEnd w:id="137"/>
      <w:bookmarkEnd w:id="138"/>
      <w:bookmarkEnd w:id="139"/>
      <w:bookmarkEnd w:id="140"/>
      <w:bookmarkEnd w:id="141"/>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18.1 投标人应在投标文件正本和所有副本的封面上注明投标人名称、项目名称。</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18.2 投标文件正本、所有副本应分别封装于密封袋内，密封袋上应分别标上“正本”、“副本”字样，并注明投标人名称、项目名称。</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18.3 所有外层密封袋的封口处应粘贴牢固，密封袋上注明投标人名称、项目名称、及招标日期，并加盖密封章(投标人公章)。</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18.4 未按以上要求进行密封和标注的投标文件将被拒绝。</w:t>
      </w:r>
    </w:p>
    <w:p>
      <w:pPr>
        <w:pStyle w:val="5"/>
        <w:tabs>
          <w:tab w:val="left" w:pos="4573"/>
        </w:tabs>
        <w:spacing w:before="0" w:after="0" w:line="360" w:lineRule="auto"/>
        <w:ind w:firstLine="480"/>
        <w:rPr>
          <w:rFonts w:ascii="宋体" w:hAnsi="宋体" w:cs="宋体"/>
          <w:szCs w:val="24"/>
        </w:rPr>
      </w:pPr>
      <w:bookmarkStart w:id="142" w:name="_Toc325096488"/>
      <w:bookmarkStart w:id="143" w:name="_Toc317509253"/>
      <w:bookmarkStart w:id="144" w:name="_Toc325464837"/>
      <w:bookmarkStart w:id="145" w:name="_Toc317509406"/>
      <w:r>
        <w:rPr>
          <w:rFonts w:hint="eastAsia" w:ascii="宋体" w:hAnsi="宋体" w:cs="宋体"/>
          <w:szCs w:val="24"/>
        </w:rPr>
        <w:t>19. 投标文件的递交</w:t>
      </w:r>
      <w:bookmarkEnd w:id="142"/>
      <w:bookmarkEnd w:id="143"/>
      <w:bookmarkEnd w:id="144"/>
      <w:bookmarkEnd w:id="145"/>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19.1 投标人应在招标文件规定的时间和地点递交投标文件；</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19.2 本次招标接受邮寄的投标文件。</w:t>
      </w:r>
    </w:p>
    <w:p>
      <w:pPr>
        <w:pStyle w:val="5"/>
        <w:tabs>
          <w:tab w:val="left" w:pos="4573"/>
        </w:tabs>
        <w:spacing w:before="0" w:after="0" w:line="360" w:lineRule="auto"/>
        <w:ind w:firstLine="480"/>
        <w:rPr>
          <w:rFonts w:ascii="宋体" w:hAnsi="宋体" w:cs="宋体"/>
          <w:szCs w:val="24"/>
        </w:rPr>
      </w:pPr>
      <w:bookmarkStart w:id="146" w:name="_Toc325096490"/>
      <w:bookmarkStart w:id="147" w:name="_Toc317509255"/>
      <w:bookmarkStart w:id="148" w:name="_Toc317509408"/>
      <w:bookmarkStart w:id="149" w:name="_Toc325464839"/>
      <w:bookmarkStart w:id="150" w:name="_Toc217446059"/>
      <w:r>
        <w:rPr>
          <w:rFonts w:hint="eastAsia" w:ascii="宋体" w:hAnsi="宋体" w:cs="宋体"/>
          <w:szCs w:val="24"/>
        </w:rPr>
        <w:t>20.招标流程</w:t>
      </w:r>
      <w:bookmarkEnd w:id="146"/>
      <w:bookmarkEnd w:id="147"/>
      <w:bookmarkEnd w:id="148"/>
      <w:bookmarkEnd w:id="149"/>
    </w:p>
    <w:bookmarkEnd w:id="150"/>
    <w:p>
      <w:pPr>
        <w:tabs>
          <w:tab w:val="left" w:pos="7665"/>
        </w:tabs>
        <w:snapToGrid w:val="0"/>
        <w:spacing w:before="0" w:after="0" w:line="360" w:lineRule="auto"/>
        <w:ind w:firstLine="480" w:firstLineChars="200"/>
        <w:rPr>
          <w:rFonts w:ascii="宋体" w:hAnsi="宋体" w:cs="宋体"/>
          <w:sz w:val="24"/>
          <w:szCs w:val="24"/>
        </w:rPr>
      </w:pPr>
      <w:bookmarkStart w:id="151" w:name="_Toc217446060"/>
      <w:r>
        <w:rPr>
          <w:rFonts w:hint="eastAsia" w:ascii="宋体" w:hAnsi="宋体" w:cs="宋体"/>
          <w:sz w:val="24"/>
          <w:szCs w:val="24"/>
        </w:rPr>
        <w:t>20.1 招标按招标文件规定的时间和地点进行。</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20.2 评审委员会对投标人提交的投标文件进行符合性评审、资格审查；</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20.3 评审委员会按照投标人中报价最低的原则或综合得分最高的原则，推荐中标候选人。</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20.4 招标人按照评审委员会推荐中标候选人的顺序确定中标人。</w:t>
      </w:r>
    </w:p>
    <w:p>
      <w:pPr>
        <w:pStyle w:val="5"/>
        <w:tabs>
          <w:tab w:val="left" w:pos="4573"/>
        </w:tabs>
        <w:spacing w:before="0" w:after="0" w:line="360" w:lineRule="auto"/>
        <w:ind w:firstLine="480"/>
        <w:rPr>
          <w:rFonts w:ascii="宋体" w:hAnsi="宋体" w:cs="宋体"/>
          <w:szCs w:val="24"/>
        </w:rPr>
      </w:pPr>
      <w:r>
        <w:rPr>
          <w:rFonts w:hint="eastAsia" w:ascii="宋体" w:hAnsi="宋体" w:cs="宋体"/>
          <w:szCs w:val="24"/>
        </w:rPr>
        <w:t>21.投标文件的修改</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21.1 投标人在招标过程中所签署的书面的澄清或者说明、经投标人确认的修正后报价均为投标文件的组成部分。</w:t>
      </w:r>
    </w:p>
    <w:bookmarkEnd w:id="151"/>
    <w:p>
      <w:pPr>
        <w:pStyle w:val="5"/>
        <w:tabs>
          <w:tab w:val="left" w:pos="4573"/>
        </w:tabs>
        <w:spacing w:before="0" w:after="0" w:line="360" w:lineRule="auto"/>
        <w:ind w:firstLine="480"/>
        <w:rPr>
          <w:rFonts w:ascii="宋体" w:hAnsi="宋体" w:cs="宋体"/>
          <w:szCs w:val="24"/>
        </w:rPr>
      </w:pPr>
      <w:bookmarkStart w:id="152" w:name="_Toc317509410"/>
      <w:bookmarkStart w:id="153" w:name="_Toc325096492"/>
      <w:bookmarkStart w:id="154" w:name="_Toc325464841"/>
      <w:bookmarkStart w:id="155" w:name="_Toc317509257"/>
      <w:bookmarkStart w:id="156" w:name="_Toc217446061"/>
      <w:r>
        <w:rPr>
          <w:rFonts w:hint="eastAsia" w:ascii="宋体" w:hAnsi="宋体" w:cs="宋体"/>
          <w:szCs w:val="24"/>
        </w:rPr>
        <w:t>22. 定标原则</w:t>
      </w:r>
      <w:bookmarkEnd w:id="152"/>
      <w:bookmarkEnd w:id="153"/>
      <w:bookmarkEnd w:id="154"/>
      <w:bookmarkEnd w:id="155"/>
      <w:bookmarkEnd w:id="156"/>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根据评审委员会推荐的中标候选人名单，按顺序确定中标人。</w:t>
      </w:r>
    </w:p>
    <w:p>
      <w:pPr>
        <w:pStyle w:val="5"/>
        <w:tabs>
          <w:tab w:val="left" w:pos="4573"/>
        </w:tabs>
        <w:spacing w:before="0" w:after="0" w:line="360" w:lineRule="auto"/>
        <w:ind w:firstLine="480"/>
        <w:rPr>
          <w:rFonts w:ascii="宋体" w:hAnsi="宋体" w:cs="宋体"/>
          <w:szCs w:val="24"/>
        </w:rPr>
      </w:pPr>
      <w:bookmarkStart w:id="157" w:name="_Toc325096493"/>
      <w:bookmarkStart w:id="158" w:name="_Toc317509258"/>
      <w:bookmarkStart w:id="159" w:name="_Toc217446062"/>
      <w:bookmarkStart w:id="160" w:name="_Toc317509411"/>
      <w:bookmarkStart w:id="161" w:name="_Toc325464842"/>
      <w:r>
        <w:rPr>
          <w:rFonts w:hint="eastAsia" w:ascii="宋体" w:hAnsi="宋体" w:cs="宋体"/>
          <w:szCs w:val="24"/>
        </w:rPr>
        <w:t>23. 定标程序</w:t>
      </w:r>
      <w:bookmarkEnd w:id="157"/>
      <w:bookmarkEnd w:id="158"/>
      <w:bookmarkEnd w:id="159"/>
      <w:bookmarkEnd w:id="160"/>
      <w:bookmarkEnd w:id="161"/>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23.1 评审委员会将评审情况写出书面报告，推荐中标候选人，并标明排列顺序。</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23.2 招标人在收到评标报告后五个工作日内，按照评标报告中推荐的中标候选人顺序依据第三章评标办法再确定最终实际中标人。</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23.3招标人将中标结果通知参加投标的所有投标人。招标人不解释中标或落选原因，不退回投标文件和其他投标申请资料。</w:t>
      </w:r>
    </w:p>
    <w:p>
      <w:pPr>
        <w:pStyle w:val="5"/>
        <w:tabs>
          <w:tab w:val="left" w:pos="4573"/>
        </w:tabs>
        <w:spacing w:before="0" w:after="0" w:line="360" w:lineRule="auto"/>
        <w:ind w:firstLine="480"/>
        <w:rPr>
          <w:rFonts w:ascii="宋体" w:hAnsi="宋体" w:cs="宋体"/>
          <w:szCs w:val="24"/>
        </w:rPr>
      </w:pPr>
      <w:bookmarkStart w:id="162" w:name="_Toc183582238"/>
      <w:bookmarkStart w:id="163" w:name="_Toc183682375"/>
      <w:bookmarkStart w:id="164" w:name="_Toc325464843"/>
      <w:bookmarkStart w:id="165" w:name="_Toc217446063"/>
      <w:bookmarkStart w:id="166" w:name="_Toc325096494"/>
      <w:bookmarkStart w:id="167" w:name="_Toc317509259"/>
      <w:bookmarkStart w:id="168" w:name="_Toc317509412"/>
      <w:r>
        <w:rPr>
          <w:rFonts w:hint="eastAsia" w:ascii="宋体" w:hAnsi="宋体" w:cs="宋体"/>
          <w:szCs w:val="24"/>
        </w:rPr>
        <w:t>24．中标通知</w:t>
      </w:r>
      <w:bookmarkEnd w:id="162"/>
      <w:bookmarkEnd w:id="163"/>
      <w:r>
        <w:rPr>
          <w:rFonts w:hint="eastAsia" w:ascii="宋体" w:hAnsi="宋体" w:cs="宋体"/>
          <w:szCs w:val="24"/>
        </w:rPr>
        <w:t>书</w:t>
      </w:r>
      <w:bookmarkEnd w:id="164"/>
      <w:bookmarkEnd w:id="165"/>
      <w:bookmarkEnd w:id="166"/>
      <w:bookmarkEnd w:id="167"/>
      <w:bookmarkEnd w:id="168"/>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24.1 中标通知书为签订合同的依据，是合同的有效组成部分。</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24.2 中标通知书对招标人和中标人均具有法律效力。中标通知书发出后，招标人改变中标结果，或者中标人无正当理由放弃中标的，应当承担相应的法律责任。</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24.3中标人的投标文件本应作为无效招标处理或者有法律法规规章制度规定的中标无效情形的，招标人在取得有权主体的认定以后，应当宣布发出的中标通知书无效，并收回发出的中标通知书(中标人也应当缴回)，依法重新确定中标人或者重新开展招标活动。</w:t>
      </w:r>
    </w:p>
    <w:p>
      <w:pPr>
        <w:pStyle w:val="5"/>
        <w:tabs>
          <w:tab w:val="left" w:pos="4573"/>
        </w:tabs>
        <w:spacing w:before="0" w:after="0" w:line="360" w:lineRule="auto"/>
        <w:ind w:firstLine="480"/>
        <w:rPr>
          <w:rFonts w:ascii="宋体" w:hAnsi="宋体" w:cs="宋体"/>
          <w:szCs w:val="24"/>
        </w:rPr>
      </w:pPr>
      <w:bookmarkStart w:id="169" w:name="_Toc317509414"/>
      <w:bookmarkStart w:id="170" w:name="_Toc217446065"/>
      <w:bookmarkStart w:id="171" w:name="_Toc325096496"/>
      <w:bookmarkStart w:id="172" w:name="_Toc317509261"/>
      <w:bookmarkStart w:id="173" w:name="_Toc325464845"/>
      <w:bookmarkStart w:id="174" w:name="_Toc183682377"/>
      <w:bookmarkStart w:id="175" w:name="_Toc183582240"/>
      <w:r>
        <w:rPr>
          <w:rFonts w:hint="eastAsia" w:ascii="宋体" w:hAnsi="宋体" w:cs="宋体"/>
          <w:szCs w:val="24"/>
        </w:rPr>
        <w:t>25. 签订合同</w:t>
      </w:r>
      <w:bookmarkEnd w:id="169"/>
      <w:bookmarkEnd w:id="170"/>
      <w:bookmarkEnd w:id="171"/>
      <w:bookmarkEnd w:id="172"/>
      <w:bookmarkEnd w:id="173"/>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25.1 中标人在收到招标人发出的中标通知书后，应自中标通知书发出之日起30日内与招标人签订合同。由于中标人的原因逾期未与招标人签订合同的，将视为放弃中标，取消其中标资格并将按相关规定进行处理。</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25.2 招标人不得向中标人提出任何不合理的要求，作为签订合同的条件，不得与中标人私下订立背离合同实质性内容的任何协议，所签订的合同不得对招标文件和中标人投标文件作实质性修改。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25.3 中标人因不可抗力原因不能履行合同或放弃中标的，招标人可以与排在中标人之后第一位的中标候选人签订合同，以此类推。</w:t>
      </w:r>
    </w:p>
    <w:p>
      <w:pPr>
        <w:pStyle w:val="5"/>
        <w:tabs>
          <w:tab w:val="left" w:pos="4573"/>
        </w:tabs>
        <w:spacing w:before="0" w:after="0" w:line="360" w:lineRule="auto"/>
        <w:ind w:firstLine="480"/>
        <w:rPr>
          <w:rFonts w:ascii="宋体" w:hAnsi="宋体" w:cs="宋体"/>
          <w:szCs w:val="24"/>
        </w:rPr>
      </w:pPr>
      <w:bookmarkStart w:id="176" w:name="_Toc325096498"/>
      <w:bookmarkStart w:id="177" w:name="_Toc317509264"/>
      <w:bookmarkStart w:id="178" w:name="_Toc317509417"/>
      <w:bookmarkStart w:id="179" w:name="_Toc325464847"/>
      <w:bookmarkStart w:id="180" w:name="_Toc217446069"/>
      <w:r>
        <w:rPr>
          <w:rFonts w:hint="eastAsia" w:ascii="宋体" w:hAnsi="宋体" w:cs="宋体"/>
          <w:szCs w:val="24"/>
        </w:rPr>
        <w:t>26. 履行合同</w:t>
      </w:r>
      <w:bookmarkEnd w:id="176"/>
      <w:bookmarkEnd w:id="177"/>
      <w:bookmarkEnd w:id="178"/>
      <w:bookmarkEnd w:id="179"/>
      <w:bookmarkEnd w:id="180"/>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26.1 中标人与招标人签订合同后，合同双方应严格执行合同条款，履行合同规定的义务，保证合同的顺利完成。</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26.2 在合同履行过程中，如发生合同纠纷，合同双方应按照《合同法》的有关规定进行处理。</w:t>
      </w:r>
    </w:p>
    <w:bookmarkEnd w:id="174"/>
    <w:bookmarkEnd w:id="175"/>
    <w:p>
      <w:pPr>
        <w:pStyle w:val="5"/>
        <w:tabs>
          <w:tab w:val="left" w:pos="4573"/>
        </w:tabs>
        <w:spacing w:before="0" w:after="0" w:line="360" w:lineRule="auto"/>
        <w:ind w:firstLine="480"/>
        <w:rPr>
          <w:rFonts w:ascii="宋体" w:hAnsi="宋体" w:cs="宋体"/>
          <w:szCs w:val="24"/>
        </w:rPr>
      </w:pPr>
      <w:bookmarkStart w:id="181" w:name="_Toc325464850"/>
      <w:bookmarkStart w:id="182" w:name="_Toc325096501"/>
      <w:bookmarkStart w:id="183" w:name="_Toc317509420"/>
      <w:bookmarkStart w:id="184" w:name="_Toc317509267"/>
      <w:bookmarkStart w:id="185" w:name="_Toc217446072"/>
      <w:bookmarkStart w:id="186" w:name="_Toc183682380"/>
      <w:bookmarkStart w:id="187" w:name="_Toc183582243"/>
      <w:r>
        <w:rPr>
          <w:rFonts w:hint="eastAsia" w:ascii="宋体" w:hAnsi="宋体" w:cs="宋体"/>
          <w:szCs w:val="24"/>
        </w:rPr>
        <w:t>27. 废标的情形</w:t>
      </w:r>
      <w:bookmarkEnd w:id="181"/>
      <w:bookmarkEnd w:id="182"/>
      <w:bookmarkEnd w:id="183"/>
      <w:bookmarkEnd w:id="184"/>
      <w:bookmarkEnd w:id="185"/>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招标中，出现下列情形之一的，予以废标：</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（1）出现影响招标公正的违法、违规行为的；</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（2）投标人的报价均超过了招标预算，招标人不能支付的；</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（3）因重大变故，招标任务取消的；</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（4）其他未实质性响应招标文件的。</w:t>
      </w:r>
    </w:p>
    <w:p>
      <w:pPr>
        <w:pStyle w:val="5"/>
        <w:tabs>
          <w:tab w:val="left" w:pos="4573"/>
        </w:tabs>
        <w:spacing w:before="0" w:after="0" w:line="360" w:lineRule="auto"/>
        <w:ind w:firstLine="480"/>
        <w:rPr>
          <w:rFonts w:ascii="宋体" w:hAnsi="宋体" w:cs="宋体"/>
          <w:szCs w:val="24"/>
        </w:rPr>
      </w:pPr>
      <w:bookmarkStart w:id="188" w:name="_Toc325096503"/>
      <w:bookmarkStart w:id="189" w:name="_Toc217446075"/>
      <w:bookmarkStart w:id="190" w:name="_Toc317509269"/>
      <w:bookmarkStart w:id="191" w:name="_Toc317509422"/>
      <w:bookmarkStart w:id="192" w:name="_Toc325464852"/>
      <w:r>
        <w:rPr>
          <w:rFonts w:hint="eastAsia" w:ascii="宋体" w:hAnsi="宋体" w:cs="宋体"/>
          <w:szCs w:val="24"/>
        </w:rPr>
        <w:t>28. 投标人不得具有的情形</w:t>
      </w:r>
      <w:bookmarkEnd w:id="188"/>
      <w:bookmarkEnd w:id="189"/>
      <w:bookmarkEnd w:id="190"/>
      <w:bookmarkEnd w:id="191"/>
      <w:bookmarkEnd w:id="192"/>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投标人参加招标不得有下列情形：</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（1）提供虚假材料谋取中标；</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（2）采取不正当手段诋毁、排挤其他投标人；</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（3）与招标人、其他投标人恶意串通；</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（4）向招标人、评审委员会成员行贿或者提供其他不正当利益；</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（5）拒绝有关部门的监督检查或者向监督检查部门提供虚假情况。</w:t>
      </w:r>
    </w:p>
    <w:p>
      <w:pPr>
        <w:tabs>
          <w:tab w:val="left" w:pos="7665"/>
        </w:tabs>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有上述情形之一的投标人，属于不合格投标人，其投标人资格或中标资格将被取消。</w:t>
      </w:r>
      <w:bookmarkEnd w:id="186"/>
      <w:bookmarkEnd w:id="187"/>
    </w:p>
    <w:p>
      <w:pPr>
        <w:pStyle w:val="3"/>
        <w:topLinePunct/>
        <w:spacing w:before="0" w:after="0" w:line="360" w:lineRule="auto"/>
        <w:jc w:val="center"/>
        <w:rPr>
          <w:rFonts w:ascii="宋体" w:hAnsi="宋体" w:cs="宋体"/>
          <w:sz w:val="24"/>
          <w:szCs w:val="24"/>
        </w:rPr>
      </w:pPr>
      <w:r>
        <w:rPr>
          <w:rFonts w:hint="eastAsia" w:ascii="宋体" w:hAnsi="宋体" w:cs="宋体"/>
          <w:b w:val="0"/>
          <w:sz w:val="24"/>
          <w:szCs w:val="24"/>
        </w:rPr>
        <w:br w:type="page"/>
      </w:r>
      <w:bookmarkEnd w:id="27"/>
      <w:bookmarkStart w:id="193" w:name="_Toc9187"/>
      <w:bookmarkStart w:id="194" w:name="_Toc32038"/>
      <w:bookmarkStart w:id="195" w:name="_Toc11711"/>
      <w:bookmarkStart w:id="196" w:name="_Toc31885"/>
      <w:bookmarkStart w:id="197" w:name="_Toc317186812"/>
      <w:bookmarkStart w:id="198" w:name="_Toc317186947"/>
      <w:bookmarkStart w:id="199" w:name="_Toc317186898"/>
      <w:bookmarkStart w:id="200" w:name="_Toc317187175"/>
      <w:bookmarkStart w:id="201" w:name="_Toc317191317"/>
      <w:bookmarkStart w:id="202" w:name="_Toc317187339"/>
      <w:bookmarkStart w:id="203" w:name="_Toc337822911"/>
      <w:bookmarkStart w:id="204" w:name="_Toc30251"/>
      <w:bookmarkStart w:id="205" w:name="_Toc337823059"/>
      <w:bookmarkStart w:id="206" w:name="_Toc317187374"/>
      <w:bookmarkStart w:id="207" w:name="_Toc29113"/>
      <w:bookmarkStart w:id="208" w:name="_Toc317187056"/>
      <w:r>
        <w:rPr>
          <w:rFonts w:hint="eastAsia" w:ascii="宋体" w:hAnsi="宋体" w:eastAsia="宋体" w:cs="宋体"/>
          <w:b/>
          <w:bCs/>
          <w:kern w:val="2"/>
          <w:sz w:val="32"/>
          <w:szCs w:val="32"/>
          <w:lang w:val="en-US" w:eastAsia="zh-CN" w:bidi="ar-SA"/>
        </w:rPr>
        <w:t>第三章  评标办法</w:t>
      </w:r>
      <w:bookmarkEnd w:id="193"/>
      <w:bookmarkEnd w:id="194"/>
      <w:bookmarkEnd w:id="195"/>
      <w:bookmarkEnd w:id="196"/>
    </w:p>
    <w:tbl>
      <w:tblPr>
        <w:tblStyle w:val="33"/>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7"/>
        <w:gridCol w:w="1850"/>
        <w:gridCol w:w="1406"/>
        <w:gridCol w:w="4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9057" w:type="dxa"/>
            <w:gridSpan w:val="4"/>
            <w:vAlign w:val="center"/>
          </w:tcPr>
          <w:p>
            <w:pPr>
              <w:spacing w:before="0" w:after="0" w:line="24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评标办法前附表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3" w:hRule="atLeast"/>
        </w:trPr>
        <w:tc>
          <w:tcPr>
            <w:tcW w:w="274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条款号</w:t>
            </w: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评审因素</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2" w:hRule="atLeast"/>
        </w:trPr>
        <w:tc>
          <w:tcPr>
            <w:tcW w:w="897"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850" w:type="dxa"/>
            <w:tcBorders>
              <w:top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评标方法</w:t>
            </w:r>
          </w:p>
        </w:tc>
        <w:tc>
          <w:tcPr>
            <w:tcW w:w="1406" w:type="dxa"/>
            <w:tcBorders>
              <w:top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综合评标法</w:t>
            </w:r>
          </w:p>
        </w:tc>
        <w:tc>
          <w:tcPr>
            <w:tcW w:w="4904" w:type="dxa"/>
            <w:tcBorders>
              <w:top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综合评分相等时，以投标报价低的优先；投标报价也相等的，以技术得分高的优先。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rPr>
        <w:tc>
          <w:tcPr>
            <w:tcW w:w="897" w:type="dxa"/>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850" w:type="dxa"/>
            <w:tcBorders>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评审标准</w:t>
            </w:r>
          </w:p>
        </w:tc>
        <w:tc>
          <w:tcPr>
            <w:tcW w:w="1406" w:type="dxa"/>
            <w:tcBorders>
              <w:bottom w:val="single" w:color="000000" w:sz="4" w:space="0"/>
              <w:right w:val="single" w:color="000000" w:sz="4" w:space="0"/>
            </w:tcBorders>
            <w:vAlign w:val="center"/>
          </w:tcPr>
          <w:p>
            <w:pPr>
              <w:spacing w:line="240" w:lineRule="auto"/>
              <w:rPr>
                <w:rFonts w:ascii="宋体" w:hAnsi="宋体" w:cs="宋体"/>
                <w:color w:val="000000"/>
                <w:sz w:val="24"/>
                <w:szCs w:val="24"/>
              </w:rPr>
            </w:pPr>
          </w:p>
        </w:tc>
        <w:tc>
          <w:tcPr>
            <w:tcW w:w="4904" w:type="dxa"/>
            <w:tcBorders>
              <w:bottom w:val="single" w:color="000000" w:sz="4" w:space="0"/>
              <w:right w:val="single" w:color="000000" w:sz="4" w:space="0"/>
            </w:tcBorders>
            <w:vAlign w:val="center"/>
          </w:tcPr>
          <w:p>
            <w:pPr>
              <w:spacing w:line="240" w:lineRule="auto"/>
              <w:jc w:val="left"/>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trPr>
        <w:tc>
          <w:tcPr>
            <w:tcW w:w="897" w:type="dxa"/>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2.1</w:t>
            </w:r>
          </w:p>
        </w:tc>
        <w:tc>
          <w:tcPr>
            <w:tcW w:w="1850" w:type="dxa"/>
            <w:tcBorders>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初步评审标准（资格及符合性审查）</w:t>
            </w:r>
          </w:p>
        </w:tc>
        <w:tc>
          <w:tcPr>
            <w:tcW w:w="1406" w:type="dxa"/>
            <w:tcBorders>
              <w:bottom w:val="single" w:color="000000" w:sz="4" w:space="0"/>
              <w:right w:val="single" w:color="000000" w:sz="4" w:space="0"/>
            </w:tcBorders>
            <w:vAlign w:val="center"/>
          </w:tcPr>
          <w:p>
            <w:pPr>
              <w:spacing w:line="240" w:lineRule="auto"/>
              <w:rPr>
                <w:rFonts w:ascii="宋体" w:hAnsi="宋体" w:cs="宋体"/>
                <w:color w:val="000000"/>
                <w:sz w:val="24"/>
                <w:szCs w:val="24"/>
              </w:rPr>
            </w:pPr>
          </w:p>
        </w:tc>
        <w:tc>
          <w:tcPr>
            <w:tcW w:w="4904" w:type="dxa"/>
            <w:tcBorders>
              <w:bottom w:val="single" w:color="000000" w:sz="4" w:space="0"/>
              <w:right w:val="single" w:color="000000" w:sz="4" w:space="0"/>
            </w:tcBorders>
            <w:vAlign w:val="center"/>
          </w:tcPr>
          <w:p>
            <w:pPr>
              <w:spacing w:line="240" w:lineRule="auto"/>
              <w:jc w:val="left"/>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1" w:hRule="atLeast"/>
        </w:trPr>
        <w:tc>
          <w:tcPr>
            <w:tcW w:w="897" w:type="dxa"/>
            <w:vMerge w:val="restart"/>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2.1.1</w:t>
            </w:r>
          </w:p>
        </w:tc>
        <w:tc>
          <w:tcPr>
            <w:tcW w:w="1850" w:type="dxa"/>
            <w:vMerge w:val="restart"/>
            <w:tcBorders>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形式评审标准</w:t>
            </w: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投标人名称</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与营业执照、资质证书一致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2" w:hRule="atLeast"/>
        </w:trPr>
        <w:tc>
          <w:tcPr>
            <w:tcW w:w="89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bottom w:val="single" w:color="000000" w:sz="4" w:space="0"/>
              <w:right w:val="single" w:color="000000" w:sz="4" w:space="0"/>
            </w:tcBorders>
            <w:vAlign w:val="center"/>
          </w:tcPr>
          <w:p>
            <w:pPr>
              <w:spacing w:line="240" w:lineRule="auto"/>
              <w:jc w:val="left"/>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签字、盖章</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（1）所有要求签字的地方都应用不褪色的墨水或签字笔由本人亲笔手写签字（包括姓和名），不得用盖章（如签名章、签字章等）代替，也不得由他人代签。</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（2）所有要求盖章的地方都应加盖投标人单位（法定名称）章（鲜章）,不得使用专用印章（如经济合同章、投标专用章等）或下属单位印章代替。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89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bottom w:val="single" w:color="000000" w:sz="4" w:space="0"/>
              <w:right w:val="single" w:color="000000" w:sz="4" w:space="0"/>
            </w:tcBorders>
            <w:vAlign w:val="center"/>
          </w:tcPr>
          <w:p>
            <w:pPr>
              <w:spacing w:line="240" w:lineRule="auto"/>
              <w:jc w:val="left"/>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副本份数</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符合第二章“投标人须知”要求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89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bottom w:val="single" w:color="000000" w:sz="4" w:space="0"/>
              <w:right w:val="single" w:color="000000" w:sz="4" w:space="0"/>
            </w:tcBorders>
            <w:vAlign w:val="center"/>
          </w:tcPr>
          <w:p>
            <w:pPr>
              <w:spacing w:line="240" w:lineRule="auto"/>
              <w:jc w:val="left"/>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投标文件格式</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符合“投标文件格式”的要求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6" w:hRule="atLeast"/>
        </w:trPr>
        <w:tc>
          <w:tcPr>
            <w:tcW w:w="89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bottom w:val="single" w:color="000000" w:sz="4" w:space="0"/>
              <w:right w:val="single" w:color="000000" w:sz="4" w:space="0"/>
            </w:tcBorders>
            <w:vAlign w:val="center"/>
          </w:tcPr>
          <w:p>
            <w:pPr>
              <w:spacing w:line="240" w:lineRule="auto"/>
              <w:jc w:val="left"/>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报价唯一</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只能有一个有效报价，即符合第二章“投标人须知”要求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trPr>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2.1.2</w:t>
            </w:r>
          </w:p>
        </w:tc>
        <w:tc>
          <w:tcPr>
            <w:tcW w:w="1850"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资格评审标准</w:t>
            </w: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营业执照</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具备有效的营业执照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rPr>
              <w:t>资质等级</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rPr>
              <w:t>符合“投标人须知”规定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8"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财务状况</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符合“投标人须知”规定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类似项目业绩</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符合“投标人须知”规定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信誉</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符合“投标人须知”规定*(实质性要求）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主要人员（项目经理、技术负责人和其他主要人员）</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符合第二章“投标人须知”规定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投标要求</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不存在“投标人须知”规定的任何一种情形之一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2.1.3</w:t>
            </w:r>
          </w:p>
        </w:tc>
        <w:tc>
          <w:tcPr>
            <w:tcW w:w="1850"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响应性评审标准</w:t>
            </w: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投标内容</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符合“投标人须知”招标范围规定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工期</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符合第二章“投标人须知”工期规定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质量</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符合第二章“投标人须知”质量规定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投标有效期</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符合第二章“投标人须知”投标有效期规定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投标保证金</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符合第二章“投标人须知”投标保证金规定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权利义务</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符合“合同条款及格式”规定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已标价工程量清单</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符合“工程量清单”给出的范围及数量以及“说明”中对投标人的要求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技术标准和要求</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符合“技术条款”规定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9"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成本</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在评标过程中，评标委员会发现投标人的报价（修正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其投标应作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0"/>
                <w:szCs w:val="21"/>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招标控制价</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投标报价（修正价）不得超过“投标人须知”规定的招标控制价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3" w:hRule="atLeast"/>
        </w:trPr>
        <w:tc>
          <w:tcPr>
            <w:tcW w:w="897" w:type="dxa"/>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0"/>
                <w:szCs w:val="21"/>
              </w:rPr>
            </w:pPr>
            <w:r>
              <w:rPr>
                <w:rFonts w:hint="eastAsia" w:ascii="宋体" w:hAnsi="宋体" w:cs="宋体"/>
                <w:color w:val="000000"/>
                <w:kern w:val="0"/>
                <w:sz w:val="20"/>
                <w:szCs w:val="21"/>
              </w:rPr>
              <w:t>2.2</w:t>
            </w:r>
          </w:p>
        </w:tc>
        <w:tc>
          <w:tcPr>
            <w:tcW w:w="1850" w:type="dxa"/>
            <w:tcBorders>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0"/>
                <w:szCs w:val="21"/>
              </w:rPr>
            </w:pPr>
            <w:r>
              <w:rPr>
                <w:rFonts w:hint="eastAsia" w:ascii="宋体" w:hAnsi="宋体" w:cs="宋体"/>
                <w:color w:val="000000"/>
                <w:kern w:val="0"/>
                <w:sz w:val="20"/>
                <w:szCs w:val="21"/>
              </w:rPr>
              <w:t>分值构成与评分标准</w:t>
            </w:r>
          </w:p>
        </w:tc>
        <w:tc>
          <w:tcPr>
            <w:tcW w:w="1406" w:type="dxa"/>
            <w:tcBorders>
              <w:bottom w:val="single" w:color="000000" w:sz="4" w:space="0"/>
              <w:right w:val="single" w:color="000000" w:sz="4" w:space="0"/>
            </w:tcBorders>
            <w:vAlign w:val="center"/>
          </w:tcPr>
          <w:p>
            <w:pPr>
              <w:spacing w:line="240" w:lineRule="auto"/>
              <w:rPr>
                <w:rFonts w:ascii="宋体" w:hAnsi="宋体" w:cs="宋体"/>
                <w:color w:val="000000"/>
                <w:sz w:val="24"/>
                <w:szCs w:val="24"/>
              </w:rPr>
            </w:pPr>
          </w:p>
        </w:tc>
        <w:tc>
          <w:tcPr>
            <w:tcW w:w="4904" w:type="dxa"/>
            <w:tcBorders>
              <w:bottom w:val="single" w:color="000000" w:sz="4" w:space="0"/>
              <w:right w:val="single" w:color="000000" w:sz="4" w:space="0"/>
            </w:tcBorders>
            <w:vAlign w:val="center"/>
          </w:tcPr>
          <w:p>
            <w:pPr>
              <w:spacing w:line="240" w:lineRule="auto"/>
              <w:jc w:val="left"/>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6" w:hRule="atLeast"/>
        </w:trPr>
        <w:tc>
          <w:tcPr>
            <w:tcW w:w="2747" w:type="dxa"/>
            <w:gridSpan w:val="2"/>
            <w:tcBorders>
              <w:left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0"/>
                <w:szCs w:val="21"/>
              </w:rPr>
            </w:pPr>
            <w:r>
              <w:rPr>
                <w:rFonts w:hint="eastAsia" w:ascii="宋体" w:hAnsi="宋体" w:cs="宋体"/>
                <w:color w:val="000000"/>
                <w:kern w:val="0"/>
                <w:sz w:val="20"/>
                <w:szCs w:val="21"/>
              </w:rPr>
              <w:t>2.2.1</w:t>
            </w:r>
          </w:p>
        </w:tc>
        <w:tc>
          <w:tcPr>
            <w:tcW w:w="1406" w:type="dxa"/>
            <w:tcBorders>
              <w:right w:val="single" w:color="000000" w:sz="4" w:space="0"/>
            </w:tcBorders>
            <w:vAlign w:val="center"/>
          </w:tcPr>
          <w:p>
            <w:pPr>
              <w:spacing w:before="0" w:after="0" w:line="240" w:lineRule="auto"/>
              <w:textAlignment w:val="center"/>
              <w:rPr>
                <w:rFonts w:ascii="宋体" w:hAnsi="宋体" w:cs="宋体"/>
                <w:color w:val="000000"/>
                <w:sz w:val="24"/>
                <w:szCs w:val="24"/>
              </w:rPr>
            </w:pPr>
            <w:r>
              <w:rPr>
                <w:rFonts w:hint="eastAsia" w:ascii="宋体" w:hAnsi="宋体" w:cs="宋体"/>
                <w:color w:val="000000"/>
                <w:kern w:val="0"/>
                <w:sz w:val="24"/>
                <w:szCs w:val="24"/>
              </w:rPr>
              <w:t>分值构成</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(总分 100 分)</w:t>
            </w:r>
          </w:p>
        </w:tc>
        <w:tc>
          <w:tcPr>
            <w:tcW w:w="4904" w:type="dxa"/>
            <w:tcBorders>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本款修改如下：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（1）商务部分：30分。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（2）技术部分：</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0分。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（3）价格部分：</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274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0"/>
                <w:szCs w:val="21"/>
              </w:rPr>
            </w:pPr>
            <w:r>
              <w:rPr>
                <w:rFonts w:hint="eastAsia" w:ascii="宋体" w:hAnsi="宋体" w:cs="宋体"/>
                <w:color w:val="000000"/>
                <w:kern w:val="0"/>
                <w:sz w:val="20"/>
                <w:szCs w:val="21"/>
              </w:rPr>
              <w:t>2.2.2</w:t>
            </w: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textAlignment w:val="center"/>
              <w:rPr>
                <w:rFonts w:ascii="宋体" w:hAnsi="宋体" w:cs="宋体"/>
                <w:color w:val="000000"/>
                <w:sz w:val="24"/>
                <w:szCs w:val="24"/>
              </w:rPr>
            </w:pPr>
            <w:r>
              <w:rPr>
                <w:rFonts w:hint="eastAsia" w:ascii="宋体" w:hAnsi="宋体" w:cs="宋体"/>
                <w:color w:val="000000"/>
                <w:kern w:val="0"/>
                <w:sz w:val="24"/>
                <w:szCs w:val="24"/>
              </w:rPr>
              <w:t>评标基准价计算方法</w:t>
            </w:r>
          </w:p>
        </w:tc>
        <w:tc>
          <w:tcPr>
            <w:tcW w:w="4904"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详见附件三：价格评审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747" w:type="dxa"/>
            <w:gridSpan w:val="2"/>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0"/>
                <w:szCs w:val="21"/>
              </w:rPr>
            </w:pPr>
            <w:r>
              <w:rPr>
                <w:rFonts w:hint="eastAsia" w:ascii="宋体" w:hAnsi="宋体" w:cs="宋体"/>
                <w:color w:val="000000"/>
                <w:kern w:val="0"/>
                <w:sz w:val="20"/>
                <w:szCs w:val="21"/>
              </w:rPr>
              <w:t>2.2.3</w:t>
            </w:r>
          </w:p>
        </w:tc>
        <w:tc>
          <w:tcPr>
            <w:tcW w:w="1406" w:type="dxa"/>
            <w:tcBorders>
              <w:bottom w:val="single" w:color="000000" w:sz="4" w:space="0"/>
              <w:right w:val="single" w:color="000000" w:sz="4" w:space="0"/>
            </w:tcBorders>
            <w:vAlign w:val="center"/>
          </w:tcPr>
          <w:p>
            <w:pPr>
              <w:spacing w:before="0" w:after="0" w:line="240" w:lineRule="auto"/>
              <w:textAlignment w:val="center"/>
              <w:rPr>
                <w:rFonts w:ascii="宋体" w:hAnsi="宋体" w:cs="宋体"/>
                <w:color w:val="000000"/>
                <w:sz w:val="24"/>
                <w:szCs w:val="24"/>
              </w:rPr>
            </w:pPr>
            <w:r>
              <w:rPr>
                <w:rFonts w:hint="eastAsia" w:ascii="宋体" w:hAnsi="宋体" w:cs="宋体"/>
                <w:color w:val="000000"/>
                <w:kern w:val="0"/>
                <w:sz w:val="24"/>
                <w:szCs w:val="24"/>
              </w:rPr>
              <w:t>投标报价的偏差率计算公式</w:t>
            </w:r>
          </w:p>
        </w:tc>
        <w:tc>
          <w:tcPr>
            <w:tcW w:w="4904" w:type="dxa"/>
            <w:tcBorders>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详见附件三：价格评审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2747" w:type="dxa"/>
            <w:gridSpan w:val="2"/>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0"/>
                <w:szCs w:val="21"/>
              </w:rPr>
            </w:pPr>
            <w:r>
              <w:rPr>
                <w:rFonts w:hint="eastAsia" w:ascii="宋体" w:hAnsi="宋体" w:cs="宋体"/>
                <w:color w:val="000000"/>
                <w:kern w:val="0"/>
                <w:sz w:val="20"/>
                <w:szCs w:val="21"/>
              </w:rPr>
              <w:t>2.2.4（1）</w:t>
            </w:r>
          </w:p>
        </w:tc>
        <w:tc>
          <w:tcPr>
            <w:tcW w:w="1406" w:type="dxa"/>
            <w:tcBorders>
              <w:bottom w:val="single" w:color="000000" w:sz="4" w:space="0"/>
              <w:right w:val="single" w:color="000000" w:sz="4" w:space="0"/>
            </w:tcBorders>
            <w:vAlign w:val="center"/>
          </w:tcPr>
          <w:p>
            <w:pPr>
              <w:spacing w:before="0" w:after="0" w:line="240" w:lineRule="auto"/>
              <w:textAlignment w:val="center"/>
              <w:rPr>
                <w:rFonts w:ascii="宋体" w:hAnsi="宋体" w:cs="宋体"/>
                <w:color w:val="000000"/>
                <w:sz w:val="24"/>
                <w:szCs w:val="24"/>
              </w:rPr>
            </w:pPr>
            <w:r>
              <w:rPr>
                <w:rFonts w:hint="eastAsia" w:ascii="宋体" w:hAnsi="宋体" w:cs="宋体"/>
                <w:color w:val="000000"/>
                <w:kern w:val="0"/>
                <w:sz w:val="24"/>
                <w:szCs w:val="24"/>
              </w:rPr>
              <w:t>商务评分标准</w:t>
            </w:r>
          </w:p>
        </w:tc>
        <w:tc>
          <w:tcPr>
            <w:tcW w:w="4904" w:type="dxa"/>
            <w:tcBorders>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详见附件一：商务评分表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2747" w:type="dxa"/>
            <w:gridSpan w:val="2"/>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0"/>
                <w:szCs w:val="21"/>
              </w:rPr>
            </w:pPr>
            <w:r>
              <w:rPr>
                <w:rFonts w:hint="eastAsia" w:ascii="宋体" w:hAnsi="宋体" w:cs="宋体"/>
                <w:color w:val="000000"/>
                <w:kern w:val="0"/>
                <w:sz w:val="20"/>
                <w:szCs w:val="21"/>
              </w:rPr>
              <w:t>2.2.4（2）</w:t>
            </w:r>
          </w:p>
        </w:tc>
        <w:tc>
          <w:tcPr>
            <w:tcW w:w="1406" w:type="dxa"/>
            <w:tcBorders>
              <w:bottom w:val="single" w:color="000000" w:sz="4" w:space="0"/>
              <w:right w:val="single" w:color="000000" w:sz="4" w:space="0"/>
            </w:tcBorders>
            <w:vAlign w:val="center"/>
          </w:tcPr>
          <w:p>
            <w:pPr>
              <w:spacing w:before="0" w:after="0" w:line="240" w:lineRule="auto"/>
              <w:textAlignment w:val="center"/>
              <w:rPr>
                <w:rFonts w:ascii="宋体" w:hAnsi="宋体" w:cs="宋体"/>
                <w:color w:val="000000"/>
                <w:sz w:val="24"/>
                <w:szCs w:val="24"/>
              </w:rPr>
            </w:pPr>
            <w:r>
              <w:rPr>
                <w:rFonts w:hint="eastAsia" w:ascii="宋体" w:hAnsi="宋体" w:cs="宋体"/>
                <w:color w:val="000000"/>
                <w:kern w:val="0"/>
                <w:sz w:val="24"/>
                <w:szCs w:val="24"/>
              </w:rPr>
              <w:t>技术评分标准</w:t>
            </w:r>
          </w:p>
        </w:tc>
        <w:tc>
          <w:tcPr>
            <w:tcW w:w="4904" w:type="dxa"/>
            <w:tcBorders>
              <w:bottom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详见附件二：技术评分表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2747" w:type="dxa"/>
            <w:gridSpan w:val="2"/>
            <w:tcBorders>
              <w:left w:val="single" w:color="000000" w:sz="4" w:space="0"/>
              <w:bottom w:val="single" w:color="auto" w:sz="4" w:space="0"/>
              <w:right w:val="single" w:color="000000" w:sz="4" w:space="0"/>
            </w:tcBorders>
            <w:vAlign w:val="center"/>
          </w:tcPr>
          <w:p>
            <w:pPr>
              <w:spacing w:before="0" w:after="0" w:line="240" w:lineRule="auto"/>
              <w:jc w:val="center"/>
              <w:textAlignment w:val="center"/>
              <w:rPr>
                <w:rFonts w:ascii="宋体" w:hAnsi="宋体" w:cs="宋体"/>
                <w:color w:val="000000"/>
                <w:sz w:val="20"/>
                <w:szCs w:val="21"/>
              </w:rPr>
            </w:pPr>
            <w:r>
              <w:rPr>
                <w:rFonts w:hint="eastAsia" w:ascii="宋体" w:hAnsi="宋体" w:cs="宋体"/>
                <w:color w:val="000000"/>
                <w:kern w:val="0"/>
                <w:sz w:val="20"/>
                <w:szCs w:val="21"/>
              </w:rPr>
              <w:t>2.2.4（3）</w:t>
            </w:r>
          </w:p>
        </w:tc>
        <w:tc>
          <w:tcPr>
            <w:tcW w:w="1406" w:type="dxa"/>
            <w:tcBorders>
              <w:bottom w:val="single" w:color="auto" w:sz="4" w:space="0"/>
              <w:right w:val="single" w:color="000000" w:sz="4" w:space="0"/>
            </w:tcBorders>
            <w:vAlign w:val="center"/>
          </w:tcPr>
          <w:p>
            <w:pPr>
              <w:spacing w:before="0" w:after="0" w:line="240" w:lineRule="auto"/>
              <w:textAlignment w:val="center"/>
              <w:rPr>
                <w:rFonts w:ascii="宋体" w:hAnsi="宋体" w:cs="宋体"/>
                <w:color w:val="000000"/>
                <w:sz w:val="24"/>
                <w:szCs w:val="24"/>
              </w:rPr>
            </w:pPr>
            <w:r>
              <w:rPr>
                <w:rFonts w:hint="eastAsia" w:ascii="宋体" w:hAnsi="宋体" w:cs="宋体"/>
                <w:color w:val="000000"/>
                <w:kern w:val="0"/>
                <w:sz w:val="24"/>
                <w:szCs w:val="24"/>
              </w:rPr>
              <w:t>投标报价</w:t>
            </w:r>
          </w:p>
        </w:tc>
        <w:tc>
          <w:tcPr>
            <w:tcW w:w="4904" w:type="dxa"/>
            <w:tcBorders>
              <w:bottom w:val="single" w:color="auto"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详见附件三：价格评审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trPr>
        <w:tc>
          <w:tcPr>
            <w:tcW w:w="2747" w:type="dxa"/>
            <w:gridSpan w:val="2"/>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textAlignment w:val="center"/>
              <w:rPr>
                <w:rFonts w:ascii="宋体" w:hAnsi="宋体" w:cs="宋体"/>
                <w:color w:val="000000"/>
                <w:sz w:val="20"/>
                <w:szCs w:val="21"/>
              </w:rPr>
            </w:pPr>
            <w:r>
              <w:rPr>
                <w:rFonts w:hint="eastAsia" w:ascii="宋体" w:hAnsi="宋体" w:cs="宋体"/>
                <w:color w:val="000000"/>
                <w:kern w:val="0"/>
                <w:sz w:val="20"/>
                <w:szCs w:val="21"/>
              </w:rPr>
              <w:t>2.2.5</w:t>
            </w:r>
          </w:p>
        </w:tc>
        <w:tc>
          <w:tcPr>
            <w:tcW w:w="6310" w:type="dxa"/>
            <w:gridSpan w:val="2"/>
            <w:tcBorders>
              <w:top w:val="single" w:color="auto" w:sz="4" w:space="0"/>
              <w:left w:val="single" w:color="auto" w:sz="4" w:space="0"/>
              <w:bottom w:val="single" w:color="auto" w:sz="4" w:space="0"/>
              <w:right w:val="single" w:color="auto" w:sz="4" w:space="0"/>
            </w:tcBorders>
            <w:vAlign w:val="center"/>
          </w:tcPr>
          <w:p>
            <w:pPr>
              <w:spacing w:before="0" w:after="0" w:line="240" w:lineRule="auto"/>
              <w:textAlignment w:val="center"/>
              <w:rPr>
                <w:rFonts w:ascii="宋体" w:hAnsi="宋体" w:cs="宋体"/>
                <w:color w:val="000000"/>
                <w:sz w:val="24"/>
                <w:szCs w:val="24"/>
              </w:rPr>
            </w:pPr>
            <w:r>
              <w:rPr>
                <w:rFonts w:hint="eastAsia" w:ascii="宋体" w:hAnsi="宋体" w:cs="宋体"/>
                <w:color w:val="000000"/>
                <w:kern w:val="0"/>
                <w:sz w:val="24"/>
                <w:szCs w:val="24"/>
              </w:rPr>
              <w:t>不平衡报价的调整。招标人保留在不改变投标人投标总报价（经算术错误改正的投标总报价）的前提下对投标人的不平衡报价作出调整的权力。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 w:hRule="atLeast"/>
        </w:trPr>
        <w:tc>
          <w:tcPr>
            <w:tcW w:w="897" w:type="dxa"/>
            <w:tcBorders>
              <w:top w:val="single" w:color="auto" w:sz="4" w:space="0"/>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850" w:type="dxa"/>
            <w:tcBorders>
              <w:top w:val="single" w:color="auto" w:sz="4" w:space="0"/>
              <w:left w:val="single" w:color="000000" w:sz="4" w:space="0"/>
              <w:bottom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评标程序</w:t>
            </w:r>
          </w:p>
        </w:tc>
        <w:tc>
          <w:tcPr>
            <w:tcW w:w="6310" w:type="dxa"/>
            <w:gridSpan w:val="2"/>
            <w:tcBorders>
              <w:top w:val="single" w:color="auto"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897" w:type="dxa"/>
            <w:tcBorders>
              <w:left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3.1</w:t>
            </w:r>
          </w:p>
        </w:tc>
        <w:tc>
          <w:tcPr>
            <w:tcW w:w="1850" w:type="dxa"/>
            <w:tcBorders>
              <w:lef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初步评审</w:t>
            </w:r>
          </w:p>
        </w:tc>
        <w:tc>
          <w:tcPr>
            <w:tcW w:w="631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2747" w:type="dxa"/>
            <w:gridSpan w:val="2"/>
            <w:tcBorders>
              <w:top w:val="single" w:color="000000" w:sz="4" w:space="0"/>
              <w:left w:val="single" w:color="000000" w:sz="4" w:space="0"/>
              <w:bottom w:val="single" w:color="auto"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3.1.1</w:t>
            </w:r>
          </w:p>
        </w:tc>
        <w:tc>
          <w:tcPr>
            <w:tcW w:w="6310" w:type="dxa"/>
            <w:gridSpan w:val="2"/>
            <w:tcBorders>
              <w:left w:val="single" w:color="000000"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评标委员会依据本章第2.1款规定的标准对投标文件进行初步评审。有一项不符合评审标准的，作废标处理。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5" w:hRule="atLeast"/>
        </w:trPr>
        <w:tc>
          <w:tcPr>
            <w:tcW w:w="2747" w:type="dxa"/>
            <w:gridSpan w:val="2"/>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3.1.2</w:t>
            </w:r>
          </w:p>
        </w:tc>
        <w:tc>
          <w:tcPr>
            <w:tcW w:w="6310" w:type="dxa"/>
            <w:gridSpan w:val="2"/>
            <w:tcBorders>
              <w:top w:val="single" w:color="000000" w:sz="4" w:space="0"/>
              <w:left w:val="single" w:color="auto" w:sz="4" w:space="0"/>
              <w:bottom w:val="single" w:color="auto" w:sz="4" w:space="0"/>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投标人有以下情形之一的，其投标作废标处理：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（1）限制投标的情形；</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（2）串通投标或弄虚作假或有其它违法行为的；</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（3）不按评标委员会要求澄清、说明或补正的。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2747" w:type="dxa"/>
            <w:gridSpan w:val="2"/>
            <w:tcBorders>
              <w:top w:val="single" w:color="auto" w:sz="4" w:space="0"/>
              <w:left w:val="single" w:color="000000" w:sz="4" w:space="0"/>
              <w:bottom w:val="single" w:color="000000" w:sz="4" w:space="0"/>
              <w:right w:val="single" w:color="auto"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3.1.3</w:t>
            </w:r>
          </w:p>
        </w:tc>
        <w:tc>
          <w:tcPr>
            <w:tcW w:w="6310" w:type="dxa"/>
            <w:gridSpan w:val="2"/>
            <w:tcBorders>
              <w:top w:val="single" w:color="auto" w:sz="4" w:space="0"/>
              <w:left w:val="single" w:color="auto" w:sz="4" w:space="0"/>
              <w:bottom w:val="single" w:color="auto" w:sz="4" w:space="0"/>
              <w:right w:val="single" w:color="auto"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投标报价有算术错误的，评标委员会按以下原则对投标报价进行修正，修正的价格经投标人书面确认后具有约束力。投标人不接受修正价格的，其投标作废标处理。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（1）投标文件中的大写金额与小写金额不一致的，以大写金额为准；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（2）总价金额与依据单价计算出的结果不一致的，以单价金额为准修正总价，但单价金额小数点有明显错误的除外。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897" w:type="dxa"/>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3.2</w:t>
            </w:r>
          </w:p>
        </w:tc>
        <w:tc>
          <w:tcPr>
            <w:tcW w:w="1850" w:type="dxa"/>
            <w:tcBorders>
              <w:left w:val="single" w:color="000000" w:sz="4" w:space="0"/>
              <w:bottom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详细评审</w:t>
            </w:r>
          </w:p>
        </w:tc>
        <w:tc>
          <w:tcPr>
            <w:tcW w:w="6310" w:type="dxa"/>
            <w:gridSpan w:val="2"/>
            <w:tcBorders>
              <w:top w:val="single" w:color="auto"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3" w:hRule="atLeast"/>
        </w:trPr>
        <w:tc>
          <w:tcPr>
            <w:tcW w:w="2747" w:type="dxa"/>
            <w:gridSpan w:val="2"/>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3.2.1</w:t>
            </w:r>
          </w:p>
        </w:tc>
        <w:tc>
          <w:tcPr>
            <w:tcW w:w="6310" w:type="dxa"/>
            <w:gridSpan w:val="2"/>
            <w:tcBorders>
              <w:right w:val="single" w:color="000000" w:sz="4" w:space="0"/>
            </w:tcBorders>
            <w:vAlign w:val="center"/>
          </w:tcPr>
          <w:p>
            <w:pPr>
              <w:spacing w:before="0" w:after="0"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本款修改如下：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3.2.1 评标委员会按本章第 2.2 款规定的量化因素和分值进行打分，并计算出综合评估得分。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（1）按本章第 2.2.4（1）目规定的评审因素、分值和2.2.1目规定的权重对商务文件部分计算出得分 A；</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（2）按本章第 2.2.4（2）目规定的评审因素、分值和2.2.1目规定的权重对技术文件部分计算出得分 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（3）按本章第 2.2.4（3）目规定的评审因素、分值和2.2.1目规定的权重对投标报价计算出得分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747" w:type="dxa"/>
            <w:gridSpan w:val="2"/>
            <w:tcBorders>
              <w:left w:val="single" w:color="000000" w:sz="4" w:space="0"/>
              <w:bottom w:val="single" w:color="000000" w:sz="4" w:space="0"/>
              <w:right w:val="single" w:color="000000" w:sz="4" w:space="0"/>
            </w:tcBorders>
            <w:vAlign w:val="center"/>
          </w:tcPr>
          <w:p>
            <w:pPr>
              <w:spacing w:before="0" w:after="0" w:line="24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3.2.3</w:t>
            </w:r>
          </w:p>
        </w:tc>
        <w:tc>
          <w:tcPr>
            <w:tcW w:w="6310"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textAlignment w:val="center"/>
              <w:rPr>
                <w:rFonts w:ascii="宋体" w:hAnsi="宋体" w:cs="宋体"/>
                <w:color w:val="000000"/>
                <w:sz w:val="24"/>
                <w:szCs w:val="24"/>
              </w:rPr>
            </w:pPr>
            <w:r>
              <w:rPr>
                <w:rFonts w:hint="eastAsia" w:ascii="宋体" w:hAnsi="宋体" w:cs="宋体"/>
                <w:color w:val="000000"/>
                <w:kern w:val="0"/>
                <w:sz w:val="24"/>
                <w:szCs w:val="24"/>
              </w:rPr>
              <w:t>本款修改如下：投标人得分=A+B+C</w:t>
            </w:r>
          </w:p>
        </w:tc>
      </w:tr>
    </w:tbl>
    <w:p>
      <w:pPr>
        <w:spacing w:line="360" w:lineRule="auto"/>
        <w:rPr>
          <w:rFonts w:ascii="宋体" w:hAnsi="宋体" w:cs="宋体"/>
          <w:b/>
          <w:sz w:val="28"/>
          <w:szCs w:val="28"/>
        </w:rPr>
        <w:sectPr>
          <w:pgSz w:w="11907" w:h="16840"/>
          <w:pgMar w:top="1440" w:right="1440" w:bottom="1440" w:left="1440" w:header="851" w:footer="992" w:gutter="0"/>
          <w:pgNumType w:fmt="decimal"/>
          <w:cols w:space="720" w:num="1"/>
          <w:docGrid w:linePitch="326" w:charSpace="0"/>
        </w:sectPr>
      </w:pPr>
    </w:p>
    <w:p>
      <w:pPr>
        <w:spacing w:line="360" w:lineRule="auto"/>
        <w:rPr>
          <w:rFonts w:ascii="宋体" w:hAnsi="宋体" w:cs="宋体"/>
          <w:b/>
          <w:sz w:val="24"/>
          <w:szCs w:val="24"/>
        </w:rPr>
      </w:pPr>
      <w:r>
        <w:rPr>
          <w:rFonts w:hint="eastAsia" w:ascii="宋体" w:hAnsi="宋体" w:cs="宋体"/>
          <w:b/>
          <w:sz w:val="24"/>
          <w:szCs w:val="24"/>
        </w:rPr>
        <w:t>附件一商务评分表</w:t>
      </w:r>
    </w:p>
    <w:p>
      <w:pPr>
        <w:jc w:val="center"/>
        <w:rPr>
          <w:rFonts w:ascii="宋体" w:hAnsi="宋体" w:cs="宋体"/>
          <w:b/>
          <w:sz w:val="24"/>
          <w:szCs w:val="24"/>
        </w:rPr>
      </w:pPr>
      <w:r>
        <w:rPr>
          <w:rFonts w:hint="eastAsia" w:ascii="宋体" w:hAnsi="宋体" w:cs="宋体"/>
          <w:b/>
          <w:sz w:val="24"/>
          <w:szCs w:val="24"/>
        </w:rPr>
        <w:t>商务评分表</w:t>
      </w:r>
    </w:p>
    <w:tbl>
      <w:tblPr>
        <w:tblStyle w:val="33"/>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439"/>
        <w:gridCol w:w="501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2" w:type="dxa"/>
            <w:vMerge w:val="restart"/>
            <w:vAlign w:val="center"/>
          </w:tcPr>
          <w:p>
            <w:pPr>
              <w:spacing w:line="300" w:lineRule="auto"/>
              <w:jc w:val="center"/>
              <w:rPr>
                <w:rFonts w:ascii="宋体" w:hAnsi="宋体" w:cs="宋体"/>
                <w:sz w:val="24"/>
                <w:szCs w:val="24"/>
              </w:rPr>
            </w:pPr>
          </w:p>
        </w:tc>
        <w:tc>
          <w:tcPr>
            <w:tcW w:w="2439" w:type="dxa"/>
            <w:vAlign w:val="center"/>
          </w:tcPr>
          <w:p>
            <w:pPr>
              <w:spacing w:line="300" w:lineRule="auto"/>
              <w:jc w:val="center"/>
              <w:rPr>
                <w:rFonts w:ascii="宋体" w:hAnsi="宋体" w:cs="宋体"/>
                <w:sz w:val="24"/>
                <w:szCs w:val="24"/>
              </w:rPr>
            </w:pPr>
            <w:r>
              <w:rPr>
                <w:rFonts w:hint="eastAsia" w:ascii="宋体" w:hAnsi="宋体" w:cs="宋体"/>
                <w:sz w:val="24"/>
                <w:szCs w:val="24"/>
              </w:rPr>
              <w:t>企业荣誉</w:t>
            </w:r>
          </w:p>
        </w:tc>
        <w:tc>
          <w:tcPr>
            <w:tcW w:w="5014" w:type="dxa"/>
            <w:vAlign w:val="center"/>
          </w:tcPr>
          <w:p>
            <w:pPr>
              <w:spacing w:line="300" w:lineRule="auto"/>
              <w:rPr>
                <w:rFonts w:ascii="宋体" w:hAnsi="宋体" w:cs="宋体"/>
                <w:sz w:val="24"/>
                <w:szCs w:val="24"/>
              </w:rPr>
            </w:pPr>
            <w:r>
              <w:rPr>
                <w:rFonts w:hint="eastAsia" w:ascii="宋体" w:hAnsi="宋体" w:cs="宋体"/>
                <w:sz w:val="24"/>
                <w:szCs w:val="24"/>
              </w:rPr>
              <w:t>评价投标人近3年获得荣誉（</w:t>
            </w:r>
            <w:r>
              <w:rPr>
                <w:rFonts w:hint="eastAsia" w:ascii="宋体" w:hAnsi="宋体" w:cs="宋体"/>
                <w:sz w:val="24"/>
                <w:szCs w:val="24"/>
                <w:lang w:eastAsia="zh-CN"/>
              </w:rPr>
              <w:t>获得物业行业</w:t>
            </w:r>
            <w:r>
              <w:rPr>
                <w:rFonts w:hint="eastAsia" w:ascii="宋体" w:hAnsi="宋体" w:cs="宋体"/>
                <w:sz w:val="24"/>
                <w:szCs w:val="24"/>
              </w:rPr>
              <w:t>市级</w:t>
            </w:r>
            <w:r>
              <w:rPr>
                <w:rFonts w:hint="eastAsia" w:ascii="宋体" w:hAnsi="宋体" w:cs="宋体"/>
                <w:sz w:val="24"/>
                <w:szCs w:val="24"/>
                <w:lang w:val="en-US" w:eastAsia="zh-CN"/>
              </w:rPr>
              <w:t>及以上</w:t>
            </w:r>
            <w:r>
              <w:rPr>
                <w:rFonts w:hint="eastAsia" w:ascii="宋体" w:hAnsi="宋体" w:cs="宋体"/>
                <w:sz w:val="24"/>
                <w:szCs w:val="24"/>
              </w:rPr>
              <w:t>企业</w:t>
            </w:r>
            <w:r>
              <w:rPr>
                <w:rFonts w:hint="eastAsia" w:ascii="宋体" w:hAnsi="宋体" w:cs="宋体"/>
                <w:sz w:val="24"/>
                <w:szCs w:val="24"/>
                <w:lang w:eastAsia="zh-CN"/>
              </w:rPr>
              <w:t>荣誉的，每一个</w:t>
            </w:r>
            <w:r>
              <w:rPr>
                <w:rFonts w:hint="eastAsia" w:ascii="宋体" w:hAnsi="宋体" w:cs="宋体"/>
                <w:sz w:val="24"/>
                <w:szCs w:val="24"/>
              </w:rPr>
              <w:t>得1分</w:t>
            </w:r>
            <w:r>
              <w:rPr>
                <w:rFonts w:hint="eastAsia" w:ascii="宋体" w:hAnsi="宋体" w:cs="宋体"/>
                <w:sz w:val="24"/>
                <w:szCs w:val="24"/>
                <w:lang w:eastAsia="zh-CN"/>
              </w:rPr>
              <w:t>，最多得</w:t>
            </w:r>
            <w:r>
              <w:rPr>
                <w:rFonts w:hint="eastAsia" w:ascii="宋体" w:hAnsi="宋体" w:cs="宋体"/>
                <w:sz w:val="24"/>
                <w:szCs w:val="24"/>
                <w:lang w:val="en-US" w:eastAsia="zh-CN"/>
              </w:rPr>
              <w:t>2分；</w:t>
            </w:r>
            <w:r>
              <w:rPr>
                <w:rFonts w:hint="eastAsia" w:ascii="宋体" w:hAnsi="宋体" w:cs="宋体"/>
                <w:sz w:val="24"/>
                <w:szCs w:val="24"/>
                <w:lang w:eastAsia="zh-CN"/>
              </w:rPr>
              <w:t>获得团餐</w:t>
            </w:r>
            <w:r>
              <w:rPr>
                <w:rFonts w:hint="eastAsia" w:ascii="宋体" w:hAnsi="宋体" w:cs="宋体"/>
                <w:sz w:val="24"/>
                <w:szCs w:val="24"/>
                <w:lang w:val="en-US" w:eastAsia="zh-CN"/>
              </w:rPr>
              <w:t>行业</w:t>
            </w:r>
            <w:r>
              <w:rPr>
                <w:rFonts w:hint="eastAsia" w:ascii="宋体" w:hAnsi="宋体" w:cs="宋体"/>
                <w:sz w:val="24"/>
                <w:szCs w:val="24"/>
                <w:lang w:eastAsia="zh-CN"/>
              </w:rPr>
              <w:t>省级</w:t>
            </w:r>
            <w:r>
              <w:rPr>
                <w:rFonts w:hint="eastAsia" w:ascii="宋体" w:hAnsi="宋体" w:cs="宋体"/>
                <w:sz w:val="24"/>
                <w:szCs w:val="24"/>
                <w:lang w:val="en-US" w:eastAsia="zh-CN"/>
              </w:rPr>
              <w:t>及以上企业荣誉的，每一个得2分，最多得4分</w:t>
            </w:r>
            <w:r>
              <w:rPr>
                <w:rFonts w:hint="eastAsia" w:ascii="宋体" w:hAnsi="宋体" w:cs="宋体"/>
                <w:sz w:val="24"/>
                <w:szCs w:val="24"/>
              </w:rPr>
              <w:t>）</w:t>
            </w:r>
          </w:p>
        </w:tc>
        <w:tc>
          <w:tcPr>
            <w:tcW w:w="788"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1002" w:type="dxa"/>
            <w:vMerge w:val="continue"/>
            <w:vAlign w:val="center"/>
          </w:tcPr>
          <w:p>
            <w:pPr>
              <w:spacing w:line="300" w:lineRule="auto"/>
              <w:jc w:val="center"/>
              <w:rPr>
                <w:rFonts w:ascii="宋体" w:hAnsi="宋体" w:cs="宋体"/>
                <w:sz w:val="24"/>
                <w:szCs w:val="24"/>
              </w:rPr>
            </w:pPr>
          </w:p>
        </w:tc>
        <w:tc>
          <w:tcPr>
            <w:tcW w:w="2439" w:type="dxa"/>
            <w:vAlign w:val="center"/>
          </w:tcPr>
          <w:p>
            <w:pPr>
              <w:spacing w:line="300" w:lineRule="auto"/>
              <w:jc w:val="center"/>
              <w:rPr>
                <w:rFonts w:ascii="宋体" w:hAnsi="宋体" w:cs="宋体"/>
                <w:sz w:val="24"/>
                <w:szCs w:val="24"/>
              </w:rPr>
            </w:pPr>
            <w:r>
              <w:rPr>
                <w:rFonts w:hint="eastAsia" w:ascii="宋体" w:hAnsi="宋体" w:cs="宋体"/>
                <w:sz w:val="24"/>
                <w:szCs w:val="24"/>
              </w:rPr>
              <w:t>投标人业绩</w:t>
            </w:r>
          </w:p>
        </w:tc>
        <w:tc>
          <w:tcPr>
            <w:tcW w:w="5014" w:type="dxa"/>
            <w:vAlign w:val="center"/>
          </w:tcPr>
          <w:p>
            <w:pPr>
              <w:spacing w:line="300" w:lineRule="auto"/>
              <w:rPr>
                <w:rFonts w:ascii="宋体" w:hAnsi="宋体" w:cs="宋体"/>
                <w:sz w:val="24"/>
                <w:szCs w:val="24"/>
              </w:rPr>
            </w:pPr>
            <w:r>
              <w:rPr>
                <w:rFonts w:hint="eastAsia" w:ascii="宋体" w:hAnsi="宋体" w:cs="宋体"/>
                <w:sz w:val="24"/>
                <w:szCs w:val="24"/>
              </w:rPr>
              <w:t>审查投标人近3年业绩情况，以及用户的证明材料（承担过1个类似业绩得基本分2分，每增加一个相关业绩得1分。最高得6分）</w:t>
            </w:r>
          </w:p>
          <w:p>
            <w:pPr>
              <w:spacing w:line="300" w:lineRule="auto"/>
              <w:rPr>
                <w:rFonts w:ascii="宋体" w:hAnsi="宋体" w:cs="宋体"/>
                <w:sz w:val="24"/>
                <w:szCs w:val="24"/>
              </w:rPr>
            </w:pPr>
            <w:r>
              <w:rPr>
                <w:rFonts w:hint="eastAsia" w:ascii="宋体" w:hAnsi="宋体" w:cs="宋体"/>
                <w:sz w:val="24"/>
                <w:szCs w:val="24"/>
              </w:rPr>
              <w:t>（提供合同复印件）</w:t>
            </w:r>
          </w:p>
        </w:tc>
        <w:tc>
          <w:tcPr>
            <w:tcW w:w="788" w:type="dxa"/>
            <w:vAlign w:val="center"/>
          </w:tcPr>
          <w:p>
            <w:pPr>
              <w:spacing w:line="300" w:lineRule="auto"/>
              <w:jc w:val="center"/>
              <w:rPr>
                <w:rFonts w:ascii="宋体" w:hAnsi="宋体" w:cs="宋体"/>
                <w:sz w:val="24"/>
                <w:szCs w:val="24"/>
              </w:rPr>
            </w:pPr>
            <w:r>
              <w:rPr>
                <w:rFonts w:hint="eastAsia" w:ascii="宋体" w:hAnsi="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2" w:type="dxa"/>
            <w:vMerge w:val="continue"/>
            <w:vAlign w:val="center"/>
          </w:tcPr>
          <w:p>
            <w:pPr>
              <w:spacing w:line="300" w:lineRule="auto"/>
              <w:jc w:val="center"/>
              <w:rPr>
                <w:rFonts w:ascii="宋体" w:hAnsi="宋体" w:cs="宋体"/>
                <w:sz w:val="24"/>
                <w:szCs w:val="24"/>
              </w:rPr>
            </w:pPr>
          </w:p>
        </w:tc>
        <w:tc>
          <w:tcPr>
            <w:tcW w:w="2439" w:type="dxa"/>
            <w:vAlign w:val="center"/>
          </w:tcPr>
          <w:p>
            <w:pPr>
              <w:spacing w:line="300" w:lineRule="auto"/>
              <w:jc w:val="center"/>
              <w:rPr>
                <w:rFonts w:ascii="宋体" w:hAnsi="宋体" w:cs="宋体"/>
                <w:sz w:val="24"/>
                <w:szCs w:val="24"/>
              </w:rPr>
            </w:pPr>
            <w:r>
              <w:rPr>
                <w:rFonts w:hint="eastAsia" w:ascii="宋体" w:hAnsi="宋体" w:cs="宋体"/>
                <w:sz w:val="24"/>
                <w:szCs w:val="24"/>
              </w:rPr>
              <w:t>体系认证</w:t>
            </w:r>
          </w:p>
        </w:tc>
        <w:tc>
          <w:tcPr>
            <w:tcW w:w="5014" w:type="dxa"/>
            <w:vAlign w:val="center"/>
          </w:tcPr>
          <w:p>
            <w:pPr>
              <w:spacing w:line="300" w:lineRule="auto"/>
              <w:rPr>
                <w:rFonts w:ascii="宋体" w:hAnsi="宋体" w:cs="宋体"/>
                <w:sz w:val="24"/>
                <w:szCs w:val="24"/>
              </w:rPr>
            </w:pPr>
            <w:r>
              <w:rPr>
                <w:rFonts w:hint="eastAsia" w:ascii="宋体" w:hAnsi="宋体" w:cs="宋体"/>
                <w:sz w:val="24"/>
                <w:szCs w:val="24"/>
              </w:rPr>
              <w:t>审查投标人体系认证（质量安全体系、环境安全体系、职业健康安全体系及食品安全体系，每有一项得</w:t>
            </w:r>
            <w:r>
              <w:rPr>
                <w:rFonts w:hint="eastAsia" w:ascii="宋体" w:hAnsi="宋体" w:cs="宋体"/>
                <w:sz w:val="24"/>
                <w:szCs w:val="24"/>
                <w:lang w:val="en-US" w:eastAsia="zh-CN"/>
              </w:rPr>
              <w:t>2</w:t>
            </w:r>
            <w:r>
              <w:rPr>
                <w:rFonts w:hint="eastAsia" w:ascii="宋体" w:hAnsi="宋体" w:cs="宋体"/>
                <w:sz w:val="24"/>
                <w:szCs w:val="24"/>
              </w:rPr>
              <w:t>分，投标人具有AAA级信用等级证书得1分）</w:t>
            </w:r>
          </w:p>
        </w:tc>
        <w:tc>
          <w:tcPr>
            <w:tcW w:w="788"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2" w:type="dxa"/>
            <w:vMerge w:val="continue"/>
            <w:vAlign w:val="center"/>
          </w:tcPr>
          <w:p>
            <w:pPr>
              <w:spacing w:line="300" w:lineRule="auto"/>
              <w:jc w:val="center"/>
              <w:rPr>
                <w:rFonts w:ascii="宋体" w:hAnsi="宋体" w:cs="宋体"/>
                <w:sz w:val="24"/>
                <w:szCs w:val="24"/>
              </w:rPr>
            </w:pPr>
          </w:p>
        </w:tc>
        <w:tc>
          <w:tcPr>
            <w:tcW w:w="2439" w:type="dxa"/>
            <w:vAlign w:val="center"/>
          </w:tcPr>
          <w:p>
            <w:pPr>
              <w:spacing w:line="300" w:lineRule="auto"/>
              <w:jc w:val="center"/>
              <w:rPr>
                <w:rFonts w:ascii="宋体" w:hAnsi="宋体" w:cs="宋体"/>
                <w:sz w:val="24"/>
                <w:szCs w:val="24"/>
                <w:highlight w:val="yellow"/>
              </w:rPr>
            </w:pPr>
            <w:r>
              <w:rPr>
                <w:rFonts w:hint="eastAsia" w:ascii="宋体" w:hAnsi="宋体" w:cs="宋体"/>
                <w:sz w:val="24"/>
                <w:szCs w:val="24"/>
                <w:highlight w:val="yellow"/>
              </w:rPr>
              <w:t>人员配置</w:t>
            </w:r>
          </w:p>
        </w:tc>
        <w:tc>
          <w:tcPr>
            <w:tcW w:w="5014" w:type="dxa"/>
            <w:vAlign w:val="center"/>
          </w:tcPr>
          <w:p>
            <w:pPr>
              <w:spacing w:line="300" w:lineRule="auto"/>
              <w:rPr>
                <w:rFonts w:hint="eastAsia" w:ascii="宋体" w:hAnsi="宋体" w:cs="宋体"/>
                <w:sz w:val="24"/>
                <w:szCs w:val="24"/>
                <w:highlight w:val="yellow"/>
              </w:rPr>
            </w:pPr>
            <w:r>
              <w:rPr>
                <w:rFonts w:hint="eastAsia" w:ascii="宋体" w:hAnsi="宋体" w:cs="宋体"/>
                <w:sz w:val="24"/>
                <w:szCs w:val="24"/>
                <w:highlight w:val="yellow"/>
              </w:rPr>
              <w:t>1.拟派本项目的厨师长具一级（高级技师）厨师证的得</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分。</w:t>
            </w:r>
          </w:p>
          <w:p>
            <w:pPr>
              <w:spacing w:line="300" w:lineRule="auto"/>
              <w:rPr>
                <w:rFonts w:ascii="宋体" w:hAnsi="宋体" w:cs="宋体"/>
                <w:sz w:val="24"/>
                <w:szCs w:val="24"/>
                <w:highlight w:val="yellow"/>
              </w:rPr>
            </w:pPr>
            <w:r>
              <w:rPr>
                <w:rFonts w:hint="eastAsia" w:ascii="宋体" w:hAnsi="宋体" w:cs="宋体"/>
                <w:sz w:val="24"/>
                <w:szCs w:val="24"/>
                <w:highlight w:val="none"/>
              </w:rPr>
              <w:t>2.拟派本项目的厨师具有三级及以上厨师证、三级及以上面点师证的，每有一个得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分，最多得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分。（提供证书复印件及近3个月社保缴纳证明材料）</w:t>
            </w:r>
          </w:p>
        </w:tc>
        <w:tc>
          <w:tcPr>
            <w:tcW w:w="788"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highlight w:val="yellow"/>
                <w:lang w:val="en-US" w:eastAsia="zh-CN"/>
              </w:rPr>
              <w:t>9</w:t>
            </w:r>
          </w:p>
        </w:tc>
      </w:tr>
    </w:tbl>
    <w:p>
      <w:pPr>
        <w:jc w:val="center"/>
        <w:rPr>
          <w:rFonts w:ascii="宋体" w:hAnsi="宋体" w:cs="宋体"/>
          <w:b/>
          <w:sz w:val="28"/>
          <w:szCs w:val="28"/>
        </w:rPr>
      </w:pPr>
    </w:p>
    <w:p>
      <w:pPr>
        <w:rPr>
          <w:rFonts w:ascii="宋体" w:hAnsi="宋体" w:cs="宋体"/>
        </w:rPr>
      </w:pPr>
      <w:r>
        <w:rPr>
          <w:rFonts w:hint="eastAsia" w:ascii="宋体" w:hAnsi="宋体" w:cs="宋体"/>
        </w:rPr>
        <w:br w:type="page"/>
      </w:r>
    </w:p>
    <w:p>
      <w:pPr>
        <w:spacing w:line="360" w:lineRule="auto"/>
        <w:rPr>
          <w:rFonts w:ascii="宋体" w:hAnsi="宋体" w:cs="宋体"/>
          <w:b/>
          <w:sz w:val="24"/>
          <w:szCs w:val="24"/>
        </w:rPr>
      </w:pPr>
      <w:r>
        <w:rPr>
          <w:rFonts w:hint="eastAsia" w:ascii="宋体" w:hAnsi="宋体" w:cs="宋体"/>
          <w:b/>
          <w:sz w:val="24"/>
          <w:szCs w:val="24"/>
        </w:rPr>
        <w:t>附件二：技术评分表</w:t>
      </w:r>
    </w:p>
    <w:p>
      <w:pPr>
        <w:spacing w:line="360" w:lineRule="auto"/>
        <w:jc w:val="center"/>
        <w:rPr>
          <w:rFonts w:ascii="宋体" w:hAnsi="宋体" w:cs="宋体"/>
          <w:b/>
          <w:bCs/>
          <w:sz w:val="24"/>
          <w:szCs w:val="24"/>
        </w:rPr>
      </w:pPr>
      <w:r>
        <w:rPr>
          <w:rFonts w:hint="eastAsia" w:ascii="宋体" w:hAnsi="宋体" w:cs="宋体"/>
          <w:b/>
          <w:bCs/>
          <w:sz w:val="24"/>
          <w:szCs w:val="24"/>
        </w:rPr>
        <w:t>技术评分表</w:t>
      </w:r>
    </w:p>
    <w:tbl>
      <w:tblPr>
        <w:tblStyle w:val="33"/>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5622"/>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7" w:type="dxa"/>
            <w:vAlign w:val="center"/>
          </w:tcPr>
          <w:p>
            <w:pPr>
              <w:spacing w:line="360" w:lineRule="auto"/>
              <w:rPr>
                <w:rFonts w:ascii="宋体" w:hAnsi="宋体" w:cs="宋体"/>
                <w:sz w:val="24"/>
                <w:szCs w:val="24"/>
              </w:rPr>
            </w:pPr>
            <w:r>
              <w:rPr>
                <w:rFonts w:hint="eastAsia" w:ascii="宋体" w:hAnsi="宋体" w:cs="宋体"/>
                <w:sz w:val="24"/>
                <w:szCs w:val="24"/>
              </w:rPr>
              <w:t>项目服务重点和难点的分析与对策</w:t>
            </w:r>
          </w:p>
        </w:tc>
        <w:tc>
          <w:tcPr>
            <w:tcW w:w="5622" w:type="dxa"/>
            <w:vAlign w:val="center"/>
          </w:tcPr>
          <w:p>
            <w:pPr>
              <w:spacing w:line="360" w:lineRule="auto"/>
              <w:rPr>
                <w:rFonts w:ascii="宋体" w:hAnsi="宋体" w:cs="宋体"/>
                <w:sz w:val="24"/>
                <w:szCs w:val="24"/>
              </w:rPr>
            </w:pPr>
            <w:r>
              <w:rPr>
                <w:rFonts w:hint="eastAsia" w:ascii="宋体" w:hAnsi="宋体" w:cs="宋体"/>
                <w:sz w:val="24"/>
                <w:szCs w:val="24"/>
              </w:rPr>
              <w:t>对项目服务重点和难度分析合理性与系统性（优得</w:t>
            </w:r>
            <w:r>
              <w:rPr>
                <w:rFonts w:hint="eastAsia" w:ascii="宋体" w:hAnsi="宋体" w:cs="宋体"/>
                <w:sz w:val="24"/>
                <w:szCs w:val="24"/>
                <w:lang w:val="en-US" w:eastAsia="zh-CN"/>
              </w:rPr>
              <w:t>2</w:t>
            </w:r>
            <w:r>
              <w:rPr>
                <w:rFonts w:hint="eastAsia" w:ascii="宋体" w:hAnsi="宋体" w:cs="宋体"/>
                <w:sz w:val="24"/>
                <w:szCs w:val="24"/>
              </w:rPr>
              <w:t>分，其余情况酌情扣分）</w:t>
            </w:r>
          </w:p>
        </w:tc>
        <w:tc>
          <w:tcPr>
            <w:tcW w:w="884"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7" w:type="dxa"/>
            <w:vAlign w:val="center"/>
          </w:tcPr>
          <w:p>
            <w:pPr>
              <w:spacing w:line="360" w:lineRule="auto"/>
              <w:rPr>
                <w:rFonts w:ascii="宋体" w:hAnsi="宋体" w:cs="宋体"/>
                <w:sz w:val="24"/>
                <w:szCs w:val="24"/>
              </w:rPr>
            </w:pPr>
            <w:r>
              <w:rPr>
                <w:rFonts w:hint="eastAsia" w:ascii="宋体" w:hAnsi="宋体" w:cs="宋体"/>
                <w:sz w:val="24"/>
                <w:szCs w:val="24"/>
              </w:rPr>
              <w:t>服务工作目标</w:t>
            </w:r>
          </w:p>
        </w:tc>
        <w:tc>
          <w:tcPr>
            <w:tcW w:w="5622" w:type="dxa"/>
            <w:vAlign w:val="center"/>
          </w:tcPr>
          <w:p>
            <w:pPr>
              <w:spacing w:line="360" w:lineRule="auto"/>
              <w:rPr>
                <w:rFonts w:ascii="宋体" w:hAnsi="宋体" w:cs="宋体"/>
                <w:sz w:val="24"/>
                <w:szCs w:val="24"/>
              </w:rPr>
            </w:pPr>
            <w:r>
              <w:rPr>
                <w:rFonts w:hint="eastAsia" w:ascii="宋体" w:hAnsi="宋体" w:cs="宋体"/>
                <w:sz w:val="24"/>
                <w:szCs w:val="24"/>
              </w:rPr>
              <w:t>服务方案内容的完整性、针对性和可行性（优得</w:t>
            </w:r>
            <w:r>
              <w:rPr>
                <w:rFonts w:hint="eastAsia" w:ascii="宋体" w:hAnsi="宋体" w:cs="宋体"/>
                <w:sz w:val="24"/>
                <w:szCs w:val="24"/>
                <w:lang w:val="en-US" w:eastAsia="zh-CN"/>
              </w:rPr>
              <w:t>2</w:t>
            </w:r>
            <w:r>
              <w:rPr>
                <w:rFonts w:hint="eastAsia" w:ascii="宋体" w:hAnsi="宋体" w:cs="宋体"/>
                <w:sz w:val="24"/>
                <w:szCs w:val="24"/>
              </w:rPr>
              <w:t>分，其余情况酌情扣分）</w:t>
            </w:r>
          </w:p>
        </w:tc>
        <w:tc>
          <w:tcPr>
            <w:tcW w:w="884"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7" w:type="dxa"/>
            <w:vAlign w:val="center"/>
          </w:tcPr>
          <w:p>
            <w:pPr>
              <w:spacing w:line="360" w:lineRule="auto"/>
              <w:rPr>
                <w:rFonts w:ascii="宋体" w:hAnsi="宋体" w:cs="宋体"/>
                <w:sz w:val="24"/>
                <w:szCs w:val="24"/>
              </w:rPr>
            </w:pPr>
            <w:r>
              <w:rPr>
                <w:rFonts w:hint="eastAsia" w:ascii="宋体" w:hAnsi="宋体" w:cs="宋体"/>
                <w:sz w:val="24"/>
                <w:szCs w:val="24"/>
              </w:rPr>
              <w:t>组织机构与人力资源</w:t>
            </w:r>
          </w:p>
        </w:tc>
        <w:tc>
          <w:tcPr>
            <w:tcW w:w="5622" w:type="dxa"/>
            <w:vAlign w:val="center"/>
          </w:tcPr>
          <w:p>
            <w:pPr>
              <w:spacing w:line="360" w:lineRule="auto"/>
              <w:rPr>
                <w:rFonts w:ascii="宋体" w:hAnsi="宋体" w:cs="宋体"/>
                <w:sz w:val="24"/>
                <w:szCs w:val="24"/>
              </w:rPr>
            </w:pPr>
            <w:r>
              <w:rPr>
                <w:rFonts w:hint="eastAsia" w:ascii="宋体" w:hAnsi="宋体" w:cs="宋体"/>
                <w:sz w:val="24"/>
                <w:szCs w:val="24"/>
              </w:rPr>
              <w:t>本项目团队配置的人员数量、专业、素质、经验及结构合理性（优得</w:t>
            </w:r>
            <w:r>
              <w:rPr>
                <w:rFonts w:hint="eastAsia" w:ascii="宋体" w:hAnsi="宋体" w:cs="宋体"/>
                <w:sz w:val="24"/>
                <w:szCs w:val="24"/>
                <w:lang w:val="en-US" w:eastAsia="zh-CN"/>
              </w:rPr>
              <w:t>2</w:t>
            </w:r>
            <w:r>
              <w:rPr>
                <w:rFonts w:hint="eastAsia" w:ascii="宋体" w:hAnsi="宋体" w:cs="宋体"/>
                <w:sz w:val="24"/>
                <w:szCs w:val="24"/>
              </w:rPr>
              <w:t>分，其余情况酌情扣分）</w:t>
            </w:r>
          </w:p>
        </w:tc>
        <w:tc>
          <w:tcPr>
            <w:tcW w:w="884"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7" w:type="dxa"/>
            <w:vAlign w:val="center"/>
          </w:tcPr>
          <w:p>
            <w:pPr>
              <w:spacing w:line="360" w:lineRule="auto"/>
              <w:rPr>
                <w:rFonts w:ascii="宋体" w:hAnsi="宋体" w:cs="宋体"/>
                <w:sz w:val="24"/>
                <w:szCs w:val="24"/>
              </w:rPr>
            </w:pPr>
            <w:r>
              <w:rPr>
                <w:rFonts w:hint="eastAsia" w:ascii="宋体" w:hAnsi="宋体" w:cs="宋体"/>
                <w:sz w:val="24"/>
                <w:szCs w:val="24"/>
              </w:rPr>
              <w:t>服务方案、技术路线及投入设备</w:t>
            </w:r>
          </w:p>
        </w:tc>
        <w:tc>
          <w:tcPr>
            <w:tcW w:w="5622" w:type="dxa"/>
            <w:vAlign w:val="center"/>
          </w:tcPr>
          <w:p>
            <w:pPr>
              <w:spacing w:line="360" w:lineRule="auto"/>
              <w:rPr>
                <w:rFonts w:ascii="宋体" w:hAnsi="宋体" w:cs="宋体"/>
                <w:sz w:val="24"/>
                <w:szCs w:val="24"/>
              </w:rPr>
            </w:pPr>
            <w:r>
              <w:rPr>
                <w:rFonts w:hint="eastAsia" w:ascii="宋体" w:hAnsi="宋体" w:cs="宋体"/>
                <w:sz w:val="24"/>
                <w:szCs w:val="24"/>
              </w:rPr>
              <w:t>服务方案、技术路线及投入设备是否合理可行，能否满足本项目实施需要（优得</w:t>
            </w:r>
            <w:r>
              <w:rPr>
                <w:rFonts w:hint="eastAsia" w:ascii="宋体" w:hAnsi="宋体" w:cs="宋体"/>
                <w:sz w:val="24"/>
                <w:szCs w:val="24"/>
                <w:lang w:val="en-US" w:eastAsia="zh-CN"/>
              </w:rPr>
              <w:t>2</w:t>
            </w:r>
            <w:r>
              <w:rPr>
                <w:rFonts w:hint="eastAsia" w:ascii="宋体" w:hAnsi="宋体" w:cs="宋体"/>
                <w:sz w:val="24"/>
                <w:szCs w:val="24"/>
              </w:rPr>
              <w:t>分，其余情况酌情扣分）</w:t>
            </w:r>
          </w:p>
        </w:tc>
        <w:tc>
          <w:tcPr>
            <w:tcW w:w="884"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737" w:type="dxa"/>
            <w:vAlign w:val="center"/>
          </w:tcPr>
          <w:p>
            <w:pPr>
              <w:spacing w:line="360" w:lineRule="auto"/>
              <w:rPr>
                <w:rFonts w:ascii="宋体" w:hAnsi="宋体" w:cs="宋体"/>
                <w:sz w:val="24"/>
                <w:szCs w:val="24"/>
              </w:rPr>
            </w:pPr>
            <w:r>
              <w:rPr>
                <w:rFonts w:hint="eastAsia" w:ascii="宋体" w:hAnsi="宋体" w:cs="宋体"/>
                <w:sz w:val="24"/>
                <w:szCs w:val="24"/>
              </w:rPr>
              <w:t>服务保障措施</w:t>
            </w:r>
          </w:p>
        </w:tc>
        <w:tc>
          <w:tcPr>
            <w:tcW w:w="5622" w:type="dxa"/>
            <w:vAlign w:val="center"/>
          </w:tcPr>
          <w:p>
            <w:pPr>
              <w:spacing w:line="360" w:lineRule="auto"/>
              <w:rPr>
                <w:rFonts w:ascii="宋体" w:hAnsi="宋体" w:cs="宋体"/>
                <w:sz w:val="24"/>
                <w:szCs w:val="24"/>
              </w:rPr>
            </w:pPr>
            <w:r>
              <w:rPr>
                <w:rFonts w:hint="eastAsia" w:ascii="宋体" w:hAnsi="宋体" w:cs="宋体"/>
                <w:sz w:val="24"/>
                <w:szCs w:val="24"/>
              </w:rPr>
              <w:t>服务、质量保障措施是否合理可行，能否满足本项目实施需要（优得</w:t>
            </w:r>
            <w:r>
              <w:rPr>
                <w:rFonts w:hint="eastAsia" w:ascii="宋体" w:hAnsi="宋体" w:cs="宋体"/>
                <w:sz w:val="24"/>
                <w:szCs w:val="24"/>
                <w:lang w:val="en-US" w:eastAsia="zh-CN"/>
              </w:rPr>
              <w:t>2</w:t>
            </w:r>
            <w:r>
              <w:rPr>
                <w:rFonts w:hint="eastAsia" w:ascii="宋体" w:hAnsi="宋体" w:cs="宋体"/>
                <w:sz w:val="24"/>
                <w:szCs w:val="24"/>
              </w:rPr>
              <w:t>分，其余情况酌情扣分）</w:t>
            </w:r>
          </w:p>
        </w:tc>
        <w:tc>
          <w:tcPr>
            <w:tcW w:w="884"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r>
    </w:tbl>
    <w:p>
      <w:pPr>
        <w:rPr>
          <w:rFonts w:ascii="宋体" w:hAnsi="宋体" w:cs="宋体"/>
          <w:szCs w:val="21"/>
        </w:rPr>
      </w:pPr>
    </w:p>
    <w:p>
      <w:pPr>
        <w:rPr>
          <w:rFonts w:ascii="宋体" w:hAnsi="宋体" w:cs="宋体"/>
          <w:b/>
          <w:sz w:val="24"/>
          <w:szCs w:val="24"/>
        </w:rPr>
      </w:pPr>
      <w:r>
        <w:rPr>
          <w:rFonts w:hint="eastAsia" w:ascii="宋体" w:hAnsi="宋体" w:cs="宋体"/>
          <w:b/>
          <w:sz w:val="24"/>
          <w:szCs w:val="24"/>
        </w:rPr>
        <w:t>附件三：价格评审</w:t>
      </w:r>
    </w:p>
    <w:p>
      <w:pPr>
        <w:snapToGrid w:val="0"/>
        <w:spacing w:line="360" w:lineRule="auto"/>
        <w:ind w:firstLine="420"/>
        <w:jc w:val="center"/>
        <w:rPr>
          <w:rFonts w:ascii="宋体" w:hAnsi="宋体" w:cs="宋体"/>
          <w:b/>
          <w:bCs/>
          <w:sz w:val="24"/>
          <w:szCs w:val="24"/>
        </w:rPr>
      </w:pPr>
      <w:bookmarkStart w:id="209" w:name="_Hlk18679592"/>
      <w:r>
        <w:rPr>
          <w:rFonts w:hint="eastAsia" w:ascii="宋体" w:hAnsi="宋体" w:cs="宋体"/>
          <w:b/>
          <w:bCs/>
          <w:sz w:val="24"/>
          <w:szCs w:val="24"/>
        </w:rPr>
        <w:t>投标报价评比得分按下表计算</w:t>
      </w:r>
    </w:p>
    <w:tbl>
      <w:tblPr>
        <w:tblStyle w:val="33"/>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440"/>
        <w:gridCol w:w="5013"/>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2"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报价</w:t>
            </w:r>
          </w:p>
          <w:p>
            <w:pPr>
              <w:spacing w:line="360" w:lineRule="auto"/>
              <w:jc w:val="center"/>
              <w:rPr>
                <w:rFonts w:ascii="宋体" w:hAnsi="宋体" w:cs="宋体"/>
                <w:sz w:val="24"/>
                <w:szCs w:val="24"/>
              </w:rPr>
            </w:pPr>
            <w:r>
              <w:rPr>
                <w:rFonts w:hint="eastAsia" w:ascii="宋体" w:hAnsi="宋体" w:cs="宋体"/>
                <w:sz w:val="24"/>
                <w:szCs w:val="24"/>
              </w:rPr>
              <w:t>部分</w:t>
            </w:r>
          </w:p>
          <w:p>
            <w:pPr>
              <w:spacing w:line="360" w:lineRule="auto"/>
              <w:jc w:val="center"/>
              <w:rPr>
                <w:rFonts w:ascii="宋体" w:hAnsi="宋体" w:cs="宋体"/>
                <w:sz w:val="24"/>
                <w:szCs w:val="24"/>
              </w:rPr>
            </w:pPr>
            <w:r>
              <w:rPr>
                <w:rFonts w:hint="eastAsia" w:ascii="宋体" w:hAnsi="宋体" w:cs="宋体"/>
                <w:sz w:val="24"/>
                <w:szCs w:val="24"/>
              </w:rPr>
              <w:t>评分</w:t>
            </w:r>
          </w:p>
          <w:p>
            <w:pPr>
              <w:spacing w:line="360" w:lineRule="auto"/>
              <w:jc w:val="center"/>
              <w:rPr>
                <w:rFonts w:ascii="宋体" w:hAnsi="宋体" w:cs="宋体"/>
                <w:sz w:val="24"/>
                <w:szCs w:val="24"/>
              </w:rPr>
            </w:pPr>
            <w:r>
              <w:rPr>
                <w:rFonts w:hint="eastAsia" w:ascii="宋体" w:hAnsi="宋体" w:cs="宋体"/>
                <w:sz w:val="24"/>
                <w:szCs w:val="24"/>
              </w:rPr>
              <w:t>标准</w:t>
            </w:r>
          </w:p>
        </w:tc>
        <w:tc>
          <w:tcPr>
            <w:tcW w:w="2440"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投标报价</w:t>
            </w:r>
          </w:p>
        </w:tc>
        <w:tc>
          <w:tcPr>
            <w:tcW w:w="5013"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采用所有有效报价（经初步评审合格的投标文件的总报价；报价有修正的，以修正后的价格为准） 的平均价格为评标基准价</w:t>
            </w:r>
          </w:p>
        </w:tc>
        <w:tc>
          <w:tcPr>
            <w:tcW w:w="788" w:type="dxa"/>
            <w:vMerge w:val="restart"/>
            <w:vAlign w:val="center"/>
          </w:tcPr>
          <w:p>
            <w:pPr>
              <w:spacing w:line="300" w:lineRule="auto"/>
              <w:jc w:val="center"/>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02" w:type="dxa"/>
            <w:vMerge w:val="continue"/>
            <w:vAlign w:val="center"/>
          </w:tcPr>
          <w:p>
            <w:pPr>
              <w:spacing w:line="360" w:lineRule="auto"/>
              <w:jc w:val="center"/>
              <w:rPr>
                <w:rFonts w:ascii="宋体" w:hAnsi="宋体" w:cs="宋体"/>
                <w:sz w:val="24"/>
                <w:szCs w:val="24"/>
              </w:rPr>
            </w:pPr>
          </w:p>
        </w:tc>
        <w:tc>
          <w:tcPr>
            <w:tcW w:w="2440" w:type="dxa"/>
            <w:vMerge w:val="continue"/>
            <w:vAlign w:val="center"/>
          </w:tcPr>
          <w:p>
            <w:pPr>
              <w:spacing w:line="360" w:lineRule="auto"/>
              <w:jc w:val="center"/>
              <w:rPr>
                <w:rFonts w:ascii="宋体" w:hAnsi="宋体" w:cs="宋体"/>
                <w:sz w:val="24"/>
                <w:szCs w:val="24"/>
              </w:rPr>
            </w:pPr>
          </w:p>
        </w:tc>
        <w:tc>
          <w:tcPr>
            <w:tcW w:w="5013" w:type="dxa"/>
            <w:vAlign w:val="center"/>
          </w:tcPr>
          <w:p>
            <w:pPr>
              <w:pStyle w:val="70"/>
              <w:spacing w:line="360" w:lineRule="auto"/>
              <w:ind w:firstLine="0" w:firstLineChars="0"/>
              <w:jc w:val="left"/>
              <w:rPr>
                <w:rFonts w:ascii="宋体" w:hAnsi="宋体" w:cs="宋体"/>
                <w:sz w:val="24"/>
                <w:szCs w:val="24"/>
              </w:rPr>
            </w:pPr>
            <w:r>
              <w:rPr>
                <w:rFonts w:hint="eastAsia" w:ascii="宋体" w:hAnsi="宋体" w:cs="宋体"/>
                <w:sz w:val="24"/>
                <w:szCs w:val="24"/>
              </w:rPr>
              <w:t>作为评标基准价的有效报价得满分；与评标基准价相比，其有效报价每偏离 1%，扣 1 分（不足1%按直线插入法计算）。</w:t>
            </w:r>
          </w:p>
        </w:tc>
        <w:tc>
          <w:tcPr>
            <w:tcW w:w="788" w:type="dxa"/>
            <w:vMerge w:val="continue"/>
            <w:vAlign w:val="center"/>
          </w:tcPr>
          <w:p>
            <w:pPr>
              <w:spacing w:line="300" w:lineRule="auto"/>
              <w:jc w:val="center"/>
              <w:rPr>
                <w:rFonts w:ascii="宋体" w:hAnsi="宋体" w:cs="宋体"/>
                <w:sz w:val="24"/>
                <w:szCs w:val="24"/>
              </w:rPr>
            </w:pPr>
          </w:p>
        </w:tc>
      </w:tr>
    </w:tbl>
    <w:p>
      <w:pPr>
        <w:spacing w:line="360" w:lineRule="auto"/>
        <w:ind w:firstLine="420" w:firstLineChars="200"/>
        <w:rPr>
          <w:rFonts w:ascii="宋体" w:hAnsi="宋体" w:cs="宋体"/>
          <w:szCs w:val="21"/>
        </w:rPr>
      </w:pPr>
    </w:p>
    <w:bookmarkEnd w:id="209"/>
    <w:p>
      <w:pPr>
        <w:pStyle w:val="4"/>
        <w:textAlignment w:val="center"/>
        <w:rPr>
          <w:rFonts w:ascii="宋体" w:hAnsi="宋体" w:cs="宋体"/>
        </w:rPr>
        <w:sectPr>
          <w:pgSz w:w="11907" w:h="16840"/>
          <w:pgMar w:top="1440" w:right="1440" w:bottom="1440" w:left="1440" w:header="851" w:footer="992" w:gutter="0"/>
          <w:pgNumType w:fmt="decimal"/>
          <w:cols w:space="720" w:num="1"/>
          <w:docGrid w:linePitch="326" w:charSpace="0"/>
        </w:sectPr>
      </w:pPr>
    </w:p>
    <w:p>
      <w:pPr>
        <w:pStyle w:val="4"/>
        <w:spacing w:before="0" w:after="0" w:line="360" w:lineRule="auto"/>
        <w:textAlignment w:val="center"/>
        <w:rPr>
          <w:rFonts w:ascii="宋体" w:hAnsi="宋体" w:cs="宋体"/>
          <w:szCs w:val="24"/>
        </w:rPr>
      </w:pPr>
      <w:bookmarkStart w:id="210" w:name="_Toc12050"/>
      <w:bookmarkStart w:id="211" w:name="_Toc29200945"/>
      <w:r>
        <w:rPr>
          <w:rFonts w:hint="eastAsia" w:ascii="宋体" w:hAnsi="宋体" w:cs="宋体"/>
          <w:szCs w:val="24"/>
        </w:rPr>
        <w:t>1．评标方法</w:t>
      </w:r>
      <w:bookmarkEnd w:id="210"/>
      <w:bookmarkEnd w:id="211"/>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咨询服务方案得分高的优先；如果咨询服务方案得分也相等，按照评标办法前附表的规定确定中标候选人顺序。</w:t>
      </w:r>
    </w:p>
    <w:p>
      <w:pPr>
        <w:pStyle w:val="4"/>
        <w:spacing w:before="0" w:after="0" w:line="360" w:lineRule="auto"/>
        <w:textAlignment w:val="center"/>
        <w:rPr>
          <w:rFonts w:ascii="宋体" w:hAnsi="宋体" w:cs="宋体"/>
          <w:szCs w:val="24"/>
        </w:rPr>
      </w:pPr>
      <w:bookmarkStart w:id="212" w:name="_Toc16059"/>
      <w:bookmarkStart w:id="213" w:name="_Toc29200946"/>
      <w:r>
        <w:rPr>
          <w:rFonts w:hint="eastAsia" w:ascii="宋体" w:hAnsi="宋体" w:cs="宋体"/>
          <w:szCs w:val="24"/>
        </w:rPr>
        <w:t>2．评审标准</w:t>
      </w:r>
      <w:bookmarkEnd w:id="212"/>
      <w:bookmarkEnd w:id="213"/>
    </w:p>
    <w:p>
      <w:pPr>
        <w:pStyle w:val="5"/>
        <w:spacing w:before="0" w:after="0" w:line="360" w:lineRule="auto"/>
        <w:ind w:firstLine="482"/>
        <w:rPr>
          <w:rFonts w:ascii="宋体" w:hAnsi="宋体" w:cs="宋体"/>
          <w:szCs w:val="24"/>
        </w:rPr>
      </w:pPr>
      <w:r>
        <w:rPr>
          <w:rFonts w:hint="eastAsia" w:ascii="宋体" w:hAnsi="宋体" w:cs="宋体"/>
          <w:szCs w:val="24"/>
        </w:rPr>
        <w:t>2.1初步评审标准</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2.1.1形式评审标准：见评标办法前附表。</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2.1.2资格评审标准：见评标办法前附表。</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2.1.3响应性评审标准：见评标办法前附表。</w:t>
      </w:r>
    </w:p>
    <w:p>
      <w:pPr>
        <w:pStyle w:val="5"/>
        <w:spacing w:before="0" w:after="0" w:line="360" w:lineRule="auto"/>
        <w:ind w:firstLine="482"/>
        <w:rPr>
          <w:rFonts w:ascii="宋体" w:hAnsi="宋体" w:cs="宋体"/>
          <w:szCs w:val="24"/>
        </w:rPr>
      </w:pPr>
      <w:r>
        <w:rPr>
          <w:rFonts w:hint="eastAsia" w:ascii="宋体" w:hAnsi="宋体" w:cs="宋体"/>
          <w:szCs w:val="24"/>
        </w:rPr>
        <w:t>2.2分值构成与评分标准</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2.2.1分值构成</w:t>
      </w:r>
    </w:p>
    <w:p>
      <w:pPr>
        <w:spacing w:before="0" w:after="0" w:line="360" w:lineRule="auto"/>
        <w:ind w:firstLine="480" w:firstLineChars="200"/>
        <w:rPr>
          <w:rFonts w:ascii="宋体" w:hAnsi="宋体" w:cs="宋体"/>
          <w:sz w:val="24"/>
          <w:szCs w:val="24"/>
        </w:rPr>
      </w:pPr>
      <w:r>
        <w:rPr>
          <w:rFonts w:hint="eastAsia" w:ascii="宋体" w:hAnsi="宋体" w:cs="宋体"/>
          <w:sz w:val="24"/>
          <w:szCs w:val="24"/>
        </w:rPr>
        <w:t>（1）商务部分：见评标办法前附表；</w:t>
      </w:r>
    </w:p>
    <w:p>
      <w:pPr>
        <w:spacing w:before="0" w:after="0" w:line="360" w:lineRule="auto"/>
        <w:ind w:firstLine="480" w:firstLineChars="200"/>
        <w:rPr>
          <w:rFonts w:ascii="宋体" w:hAnsi="宋体" w:cs="宋体"/>
          <w:sz w:val="24"/>
          <w:szCs w:val="24"/>
        </w:rPr>
      </w:pPr>
      <w:r>
        <w:rPr>
          <w:rFonts w:hint="eastAsia" w:ascii="宋体" w:hAnsi="宋体" w:cs="宋体"/>
          <w:sz w:val="24"/>
          <w:szCs w:val="24"/>
        </w:rPr>
        <w:t>（2）技术部分：见评标办法前附表；</w:t>
      </w:r>
    </w:p>
    <w:p>
      <w:pPr>
        <w:spacing w:before="0" w:after="0" w:line="360" w:lineRule="auto"/>
        <w:ind w:firstLine="480" w:firstLineChars="200"/>
        <w:rPr>
          <w:rFonts w:ascii="宋体" w:hAnsi="宋体" w:cs="宋体"/>
          <w:sz w:val="24"/>
          <w:szCs w:val="24"/>
        </w:rPr>
      </w:pPr>
      <w:r>
        <w:rPr>
          <w:rFonts w:hint="eastAsia" w:ascii="宋体" w:hAnsi="宋体" w:cs="宋体"/>
          <w:sz w:val="24"/>
          <w:szCs w:val="24"/>
        </w:rPr>
        <w:t>（3）报价部分：见评标办法前附表。</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2.2.2评标基准价计算评标基准价计算方法：见评标办法前附表。</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2.2.3投标报价的偏差率计算</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投标报价的偏差率计算公式：见评标办法前附表。</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2.2.4评分标准</w:t>
      </w:r>
    </w:p>
    <w:p>
      <w:pPr>
        <w:spacing w:before="0" w:after="0" w:line="360" w:lineRule="auto"/>
        <w:ind w:firstLine="480" w:firstLineChars="200"/>
        <w:rPr>
          <w:rFonts w:ascii="宋体" w:hAnsi="宋体" w:cs="宋体"/>
          <w:sz w:val="24"/>
          <w:szCs w:val="24"/>
        </w:rPr>
      </w:pPr>
      <w:r>
        <w:rPr>
          <w:rFonts w:hint="eastAsia" w:ascii="宋体" w:hAnsi="宋体" w:cs="宋体"/>
          <w:sz w:val="24"/>
          <w:szCs w:val="24"/>
        </w:rPr>
        <w:t>（1）商务部分评分标准：见评标办法前附表；</w:t>
      </w:r>
    </w:p>
    <w:p>
      <w:pPr>
        <w:spacing w:before="0" w:after="0" w:line="360" w:lineRule="auto"/>
        <w:ind w:firstLine="480" w:firstLineChars="200"/>
        <w:rPr>
          <w:rFonts w:ascii="宋体" w:hAnsi="宋体" w:cs="宋体"/>
          <w:sz w:val="24"/>
          <w:szCs w:val="24"/>
        </w:rPr>
      </w:pPr>
      <w:r>
        <w:rPr>
          <w:rFonts w:hint="eastAsia" w:ascii="宋体" w:hAnsi="宋体" w:cs="宋体"/>
          <w:sz w:val="24"/>
          <w:szCs w:val="24"/>
        </w:rPr>
        <w:t>（2）技术部分评分标准：见评标办法前附表；</w:t>
      </w:r>
    </w:p>
    <w:p>
      <w:pPr>
        <w:spacing w:before="0" w:after="0" w:line="360" w:lineRule="auto"/>
        <w:ind w:firstLine="480" w:firstLineChars="200"/>
        <w:rPr>
          <w:rFonts w:ascii="宋体" w:hAnsi="宋体" w:cs="宋体"/>
          <w:sz w:val="24"/>
          <w:szCs w:val="24"/>
        </w:rPr>
      </w:pPr>
      <w:r>
        <w:rPr>
          <w:rFonts w:hint="eastAsia" w:ascii="宋体" w:hAnsi="宋体" w:cs="宋体"/>
          <w:sz w:val="24"/>
          <w:szCs w:val="24"/>
        </w:rPr>
        <w:t>（3）报价部分评分标准：见评标办法前附表。</w:t>
      </w:r>
    </w:p>
    <w:p>
      <w:pPr>
        <w:pStyle w:val="4"/>
        <w:spacing w:before="0" w:after="0" w:line="360" w:lineRule="auto"/>
        <w:textAlignment w:val="center"/>
        <w:rPr>
          <w:rFonts w:ascii="宋体" w:hAnsi="宋体" w:cs="宋体"/>
          <w:szCs w:val="24"/>
        </w:rPr>
      </w:pPr>
      <w:bookmarkStart w:id="214" w:name="_Toc29200947"/>
      <w:bookmarkStart w:id="215" w:name="_Toc17382"/>
      <w:r>
        <w:rPr>
          <w:rFonts w:hint="eastAsia" w:ascii="宋体" w:hAnsi="宋体" w:cs="宋体"/>
          <w:szCs w:val="24"/>
        </w:rPr>
        <w:t>3．评标程序</w:t>
      </w:r>
      <w:bookmarkEnd w:id="214"/>
      <w:bookmarkEnd w:id="215"/>
    </w:p>
    <w:p>
      <w:pPr>
        <w:pStyle w:val="5"/>
        <w:spacing w:before="0" w:after="0" w:line="360" w:lineRule="auto"/>
        <w:ind w:firstLine="482"/>
        <w:rPr>
          <w:rFonts w:ascii="宋体" w:hAnsi="宋体" w:cs="宋体"/>
          <w:szCs w:val="24"/>
        </w:rPr>
      </w:pPr>
      <w:r>
        <w:rPr>
          <w:rFonts w:hint="eastAsia" w:ascii="宋体" w:hAnsi="宋体" w:cs="宋体"/>
          <w:szCs w:val="24"/>
        </w:rPr>
        <w:t>3.1初步评审</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3.1.1评标委员会可以要求投标人提交第二章“投标人须知”规定的有关证明和证件的原件，以便核验。评标委员会依据本章规定的标准对投标文件进行初步评审。有一项不符合评审标准的，评标委员会应当否决其投标。</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3.1.2投标人有以下情形之一的，评标委员会应当否决其投标：</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（2）有串通投标、弄虚作假、行贿等违法行为。</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3.1.3投标报价有算术错误及其他错误的，评标委员会按以下原则要求投标人对投标报价进行修正，并要求投标人书面澄清确认。投标人拒不澄清确认的，评标委员会应当否决其投标：</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（1）投标文件中的大写金额与小写金额不一致的，以大写金额为准；</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pPr>
        <w:pStyle w:val="5"/>
        <w:spacing w:before="0" w:after="0" w:line="360" w:lineRule="auto"/>
        <w:ind w:firstLine="482"/>
        <w:rPr>
          <w:rFonts w:ascii="宋体" w:hAnsi="宋体" w:cs="宋体"/>
          <w:szCs w:val="24"/>
        </w:rPr>
      </w:pPr>
      <w:r>
        <w:rPr>
          <w:rFonts w:hint="eastAsia" w:ascii="宋体" w:hAnsi="宋体" w:cs="宋体"/>
          <w:szCs w:val="24"/>
        </w:rPr>
        <w:t>3.2详细评审</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3.2.1评标委员会按本章第2.2款规定的量化因素和分值进行打分，并计算出综合评估得分。</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（1）按本章第2.2.4（1）目规定的评审因素和分值对资信业绩部分计算出得分A；</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（2）按本章第2.2.4（2）目规定的评审因素和分值对咨询服务方案部分计算出得分B；</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（3）按本章第2.2.4（3）目规定的评审因素和分值对投标报价计算出得分C；</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3.2.2评分分值计算保留小数点后两位，小数点后第三位“四舍五入”。</w:t>
      </w:r>
    </w:p>
    <w:p>
      <w:pPr>
        <w:topLinePunct/>
        <w:snapToGrid w:val="0"/>
        <w:spacing w:before="0" w:after="0" w:line="360" w:lineRule="auto"/>
        <w:ind w:firstLine="480" w:firstLineChars="200"/>
        <w:textAlignment w:val="center"/>
        <w:rPr>
          <w:rFonts w:ascii="宋体" w:hAnsi="宋体" w:cs="宋体"/>
          <w:sz w:val="24"/>
          <w:szCs w:val="24"/>
          <w:highlight w:val="yellow"/>
        </w:rPr>
      </w:pPr>
      <w:r>
        <w:rPr>
          <w:rFonts w:hint="eastAsia" w:ascii="宋体" w:hAnsi="宋体" w:cs="宋体"/>
          <w:sz w:val="24"/>
          <w:szCs w:val="24"/>
          <w:highlight w:val="yellow"/>
        </w:rPr>
        <w:t>3.2.3投标人得分=A+B+C。</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before="0" w:after="0" w:line="360" w:lineRule="auto"/>
        <w:ind w:firstLine="482"/>
        <w:rPr>
          <w:rFonts w:ascii="宋体" w:hAnsi="宋体" w:cs="宋体"/>
          <w:szCs w:val="24"/>
        </w:rPr>
      </w:pPr>
      <w:r>
        <w:rPr>
          <w:rFonts w:hint="eastAsia" w:ascii="宋体" w:hAnsi="宋体" w:cs="宋体"/>
          <w:szCs w:val="24"/>
        </w:rPr>
        <w:t>3.3投标文件的澄清</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3.3.1在评标过程中，评标委员会可以书面形式要求投标人对投标文件中含义不明确、对同类问题表述不一致或者有明显文字和计算错误的内容作必要的澄清、说明或补正。澄清、说明</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或补正应以书面方式进行。评标委员会不接受投标人主动提出的澄清、说明或补正。</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3.3.2澄清、说明或补正不得超出投标文件的范围且不得改变投标文件的实质性内容，并构成投标文件的组成部分。</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3.3.3评标委员会对投标人提交的澄清、说明或补正有疑问的，可以要求投标人进一步澄清、说明或补正，直至满足评标委员会的要求。</w:t>
      </w:r>
    </w:p>
    <w:p>
      <w:pPr>
        <w:pStyle w:val="5"/>
        <w:spacing w:before="0" w:after="0" w:line="360" w:lineRule="auto"/>
        <w:ind w:firstLine="482"/>
        <w:rPr>
          <w:rFonts w:ascii="宋体" w:hAnsi="宋体" w:cs="宋体"/>
          <w:szCs w:val="24"/>
        </w:rPr>
      </w:pPr>
      <w:r>
        <w:rPr>
          <w:rFonts w:hint="eastAsia" w:ascii="宋体" w:hAnsi="宋体" w:cs="宋体"/>
          <w:szCs w:val="24"/>
        </w:rPr>
        <w:t>3.4评标结果</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3.4.1除第二章“投标人须知”前附表授权直接确定中标人外，评标委员会按照得分由高到低的顺序推荐中标候选人，并标明排序。</w:t>
      </w:r>
    </w:p>
    <w:p>
      <w:pPr>
        <w:topLinePunct/>
        <w:snapToGrid w:val="0"/>
        <w:spacing w:before="0" w:after="0" w:line="360" w:lineRule="auto"/>
        <w:ind w:firstLine="480" w:firstLineChars="200"/>
        <w:textAlignment w:val="center"/>
        <w:rPr>
          <w:rFonts w:ascii="宋体" w:hAnsi="宋体" w:cs="宋体"/>
          <w:sz w:val="24"/>
          <w:szCs w:val="24"/>
        </w:rPr>
      </w:pPr>
      <w:r>
        <w:rPr>
          <w:rFonts w:hint="eastAsia" w:ascii="宋体" w:hAnsi="宋体" w:cs="宋体"/>
          <w:sz w:val="24"/>
          <w:szCs w:val="24"/>
        </w:rPr>
        <w:t>3.4.2评标委员会完成评标后，应当向招标人提交书面评标报告和中标候选人名单。</w:t>
      </w:r>
    </w:p>
    <w:p>
      <w:pPr>
        <w:topLinePunct/>
        <w:snapToGrid w:val="0"/>
        <w:spacing w:before="0" w:after="0" w:line="240" w:lineRule="auto"/>
        <w:ind w:firstLine="480" w:firstLineChars="200"/>
        <w:textAlignment w:val="center"/>
        <w:rPr>
          <w:rFonts w:ascii="宋体" w:hAnsi="宋体" w:cs="宋体"/>
          <w:sz w:val="24"/>
          <w:szCs w:val="24"/>
        </w:rPr>
      </w:pPr>
    </w:p>
    <w:p>
      <w:pPr>
        <w:pStyle w:val="3"/>
        <w:topLinePunct/>
        <w:spacing w:before="0" w:after="0" w:line="240" w:lineRule="auto"/>
        <w:textAlignment w:val="center"/>
        <w:rPr>
          <w:rFonts w:ascii="宋体" w:hAnsi="宋体" w:cs="宋体"/>
          <w:sz w:val="24"/>
          <w:szCs w:val="24"/>
        </w:rPr>
        <w:sectPr>
          <w:pgSz w:w="11907" w:h="16840"/>
          <w:pgMar w:top="1440" w:right="1440" w:bottom="1440" w:left="1440" w:header="851" w:footer="992" w:gutter="0"/>
          <w:pgNumType w:fmt="decimal"/>
          <w:cols w:space="720" w:num="1"/>
          <w:docGrid w:linePitch="326" w:charSpace="0"/>
        </w:sectPr>
      </w:pPr>
    </w:p>
    <w:p>
      <w:pPr>
        <w:pStyle w:val="3"/>
        <w:topLinePunct/>
        <w:spacing w:before="0" w:after="0" w:line="360" w:lineRule="auto"/>
        <w:jc w:val="center"/>
        <w:rPr>
          <w:rFonts w:hint="eastAsia" w:ascii="宋体" w:hAnsi="宋体" w:eastAsia="宋体" w:cs="宋体"/>
          <w:b/>
          <w:bCs/>
          <w:kern w:val="2"/>
          <w:sz w:val="32"/>
          <w:szCs w:val="32"/>
          <w:lang w:val="en-US" w:eastAsia="zh-CN" w:bidi="ar-SA"/>
        </w:rPr>
      </w:pPr>
      <w:bookmarkStart w:id="216" w:name="_Toc1631"/>
      <w:bookmarkStart w:id="217" w:name="_Toc23025"/>
      <w:bookmarkStart w:id="218" w:name="_Toc28324"/>
      <w:bookmarkStart w:id="219" w:name="_Toc9773"/>
      <w:r>
        <w:rPr>
          <w:rFonts w:hint="eastAsia" w:ascii="宋体" w:hAnsi="宋体" w:eastAsia="宋体" w:cs="宋体"/>
          <w:b/>
          <w:bCs/>
          <w:kern w:val="2"/>
          <w:sz w:val="32"/>
          <w:szCs w:val="32"/>
          <w:lang w:val="en-US" w:eastAsia="zh-CN" w:bidi="ar-SA"/>
        </w:rPr>
        <w:t>第四章  合同主要条款及格式</w:t>
      </w:r>
      <w:bookmarkEnd w:id="216"/>
      <w:bookmarkEnd w:id="217"/>
      <w:bookmarkEnd w:id="218"/>
      <w:bookmarkEnd w:id="219"/>
    </w:p>
    <w:p>
      <w:pPr>
        <w:pStyle w:val="4"/>
        <w:jc w:val="center"/>
        <w:rPr>
          <w:rFonts w:ascii="宋体" w:hAnsi="宋体" w:cs="宋体"/>
          <w:sz w:val="28"/>
          <w:szCs w:val="28"/>
        </w:rPr>
      </w:pPr>
      <w:r>
        <w:rPr>
          <w:rFonts w:hint="eastAsia" w:ascii="宋体" w:hAnsi="宋体" w:cs="宋体"/>
          <w:sz w:val="28"/>
          <w:szCs w:val="28"/>
        </w:rPr>
        <w:t>第一节</w:t>
      </w:r>
      <w:r>
        <w:rPr>
          <w:rFonts w:hint="eastAsia" w:ascii="宋体" w:hAnsi="宋体" w:cs="宋体"/>
          <w:sz w:val="28"/>
          <w:szCs w:val="28"/>
        </w:rPr>
        <w:tab/>
      </w:r>
      <w:r>
        <w:rPr>
          <w:rFonts w:hint="eastAsia" w:ascii="宋体" w:hAnsi="宋体" w:cs="宋体"/>
          <w:sz w:val="28"/>
          <w:szCs w:val="28"/>
        </w:rPr>
        <w:t>合同协议书</w:t>
      </w:r>
    </w:p>
    <w:p>
      <w:pPr>
        <w:rPr>
          <w:rFonts w:ascii="宋体" w:hAnsi="宋体" w:cs="宋体"/>
        </w:rPr>
      </w:pPr>
    </w:p>
    <w:p>
      <w:pPr>
        <w:spacing w:before="0" w:after="0" w:line="360" w:lineRule="auto"/>
        <w:jc w:val="center"/>
        <w:rPr>
          <w:rFonts w:ascii="宋体" w:hAnsi="宋体" w:cs="宋体"/>
          <w:b/>
          <w:bCs/>
          <w:sz w:val="52"/>
          <w:szCs w:val="52"/>
        </w:rPr>
      </w:pPr>
      <w:r>
        <w:rPr>
          <w:rFonts w:hint="eastAsia" w:ascii="宋体" w:hAnsi="宋体" w:cs="宋体"/>
          <w:b/>
          <w:bCs/>
          <w:snapToGrid w:val="0"/>
          <w:sz w:val="52"/>
          <w:szCs w:val="52"/>
        </w:rPr>
        <w:t>四川省能投攀枝花水电开发有限公司</w:t>
      </w:r>
    </w:p>
    <w:p>
      <w:pPr>
        <w:spacing w:before="0" w:after="0" w:line="360" w:lineRule="auto"/>
        <w:jc w:val="center"/>
        <w:rPr>
          <w:rFonts w:ascii="宋体" w:hAnsi="宋体" w:cs="宋体"/>
          <w:b/>
          <w:bCs/>
          <w:sz w:val="52"/>
          <w:szCs w:val="52"/>
        </w:rPr>
      </w:pPr>
      <w:r>
        <w:rPr>
          <w:rFonts w:hint="eastAsia" w:ascii="宋体" w:hAnsi="宋体" w:cs="宋体"/>
          <w:b/>
          <w:bCs/>
          <w:snapToGrid w:val="0"/>
          <w:sz w:val="52"/>
          <w:szCs w:val="52"/>
          <w:lang w:val="en-US" w:eastAsia="zh-CN"/>
        </w:rPr>
        <w:t>营地</w:t>
      </w:r>
      <w:r>
        <w:rPr>
          <w:rFonts w:hint="eastAsia" w:ascii="宋体" w:hAnsi="宋体" w:cs="宋体"/>
          <w:b/>
          <w:bCs/>
          <w:snapToGrid w:val="0"/>
          <w:sz w:val="52"/>
          <w:szCs w:val="52"/>
        </w:rPr>
        <w:t>及</w:t>
      </w:r>
      <w:r>
        <w:rPr>
          <w:rFonts w:hint="eastAsia" w:ascii="宋体" w:hAnsi="宋体" w:cs="宋体"/>
          <w:b/>
          <w:bCs/>
          <w:sz w:val="52"/>
          <w:szCs w:val="52"/>
          <w:lang w:val="en-US" w:eastAsia="zh-CN"/>
        </w:rPr>
        <w:t>电厂</w:t>
      </w:r>
      <w:r>
        <w:rPr>
          <w:rFonts w:hint="eastAsia" w:ascii="宋体" w:hAnsi="宋体" w:cs="宋体"/>
          <w:b/>
          <w:bCs/>
          <w:snapToGrid w:val="0"/>
          <w:sz w:val="52"/>
          <w:szCs w:val="52"/>
        </w:rPr>
        <w:t>物业服务</w:t>
      </w:r>
    </w:p>
    <w:p>
      <w:pPr>
        <w:spacing w:before="0" w:after="0" w:line="360" w:lineRule="auto"/>
        <w:jc w:val="center"/>
        <w:rPr>
          <w:rFonts w:ascii="宋体" w:hAnsi="宋体" w:cs="宋体"/>
          <w:b/>
          <w:bCs/>
          <w:sz w:val="52"/>
          <w:szCs w:val="52"/>
        </w:rPr>
      </w:pPr>
      <w:r>
        <w:rPr>
          <w:rFonts w:hint="eastAsia" w:ascii="宋体" w:hAnsi="宋体" w:cs="宋体"/>
          <w:b/>
          <w:bCs/>
          <w:sz w:val="52"/>
          <w:szCs w:val="52"/>
        </w:rPr>
        <w:t>合同书</w:t>
      </w:r>
    </w:p>
    <w:p>
      <w:pPr>
        <w:ind w:firstLine="3570" w:firstLineChars="1700"/>
        <w:rPr>
          <w:rFonts w:ascii="宋体" w:hAnsi="宋体" w:cs="宋体"/>
          <w:sz w:val="40"/>
        </w:rPr>
      </w:pPr>
      <w:r>
        <w:rPr>
          <w:rFonts w:hint="eastAsia" w:ascii="宋体" w:hAnsi="宋体" w:cs="宋体"/>
        </w:rPr>
        <w:t xml:space="preserve">合同编号： </w:t>
      </w:r>
    </w:p>
    <w:p>
      <w:pPr>
        <w:pStyle w:val="14"/>
        <w:tabs>
          <w:tab w:val="left" w:pos="0"/>
        </w:tabs>
        <w:rPr>
          <w:rFonts w:ascii="宋体" w:hAnsi="宋体" w:eastAsia="宋体" w:cs="宋体"/>
          <w:sz w:val="40"/>
        </w:rPr>
      </w:pPr>
    </w:p>
    <w:p>
      <w:pPr>
        <w:pStyle w:val="14"/>
        <w:tabs>
          <w:tab w:val="left" w:pos="0"/>
        </w:tabs>
        <w:rPr>
          <w:rFonts w:ascii="宋体" w:hAnsi="宋体" w:eastAsia="宋体" w:cs="宋体"/>
          <w:sz w:val="40"/>
        </w:rPr>
      </w:pPr>
    </w:p>
    <w:p>
      <w:pPr>
        <w:pStyle w:val="14"/>
        <w:tabs>
          <w:tab w:val="left" w:pos="0"/>
        </w:tabs>
        <w:rPr>
          <w:rFonts w:ascii="宋体" w:hAnsi="宋体" w:eastAsia="宋体" w:cs="宋体"/>
          <w:sz w:val="40"/>
        </w:rPr>
      </w:pPr>
    </w:p>
    <w:p>
      <w:pPr>
        <w:pStyle w:val="14"/>
        <w:tabs>
          <w:tab w:val="left" w:pos="0"/>
        </w:tabs>
        <w:rPr>
          <w:rFonts w:ascii="宋体" w:hAnsi="宋体" w:eastAsia="宋体" w:cs="宋体"/>
          <w:sz w:val="40"/>
        </w:rPr>
      </w:pPr>
    </w:p>
    <w:p>
      <w:pPr>
        <w:tabs>
          <w:tab w:val="left" w:pos="0"/>
        </w:tabs>
        <w:spacing w:before="0" w:after="0"/>
        <w:ind w:firstLine="552" w:firstLineChars="200"/>
        <w:rPr>
          <w:rFonts w:ascii="宋体" w:hAnsi="宋体" w:cs="宋体"/>
          <w:b/>
          <w:bCs/>
          <w:spacing w:val="-2"/>
          <w:sz w:val="28"/>
          <w:szCs w:val="28"/>
        </w:rPr>
      </w:pPr>
      <w:r>
        <w:rPr>
          <w:rFonts w:hint="eastAsia" w:ascii="宋体" w:hAnsi="宋体" w:cs="宋体"/>
          <w:spacing w:val="-2"/>
          <w:sz w:val="28"/>
          <w:szCs w:val="28"/>
        </w:rPr>
        <w:t xml:space="preserve">      </w:t>
      </w:r>
      <w:r>
        <w:rPr>
          <w:rFonts w:hint="eastAsia" w:ascii="宋体" w:hAnsi="宋体" w:cs="宋体"/>
          <w:b/>
          <w:bCs/>
          <w:spacing w:val="-2"/>
          <w:sz w:val="28"/>
          <w:szCs w:val="28"/>
        </w:rPr>
        <w:t>招标人（甲方）：四川省能投攀枝花水电开发有限公司</w:t>
      </w:r>
    </w:p>
    <w:p>
      <w:pPr>
        <w:tabs>
          <w:tab w:val="left" w:pos="0"/>
        </w:tabs>
        <w:spacing w:before="0" w:after="0"/>
        <w:ind w:firstLine="554" w:firstLineChars="200"/>
        <w:rPr>
          <w:rFonts w:ascii="宋体" w:hAnsi="宋体" w:cs="宋体"/>
          <w:b/>
          <w:bCs/>
          <w:spacing w:val="-2"/>
          <w:sz w:val="28"/>
          <w:szCs w:val="28"/>
        </w:rPr>
      </w:pPr>
      <w:r>
        <w:rPr>
          <w:rFonts w:hint="eastAsia" w:ascii="宋体" w:hAnsi="宋体" w:cs="宋体"/>
          <w:b/>
          <w:bCs/>
          <w:spacing w:val="-2"/>
          <w:sz w:val="28"/>
          <w:szCs w:val="28"/>
        </w:rPr>
        <w:t xml:space="preserve">      投标人（乙方）：</w:t>
      </w:r>
    </w:p>
    <w:p>
      <w:pPr>
        <w:pStyle w:val="14"/>
        <w:tabs>
          <w:tab w:val="left" w:pos="0"/>
        </w:tabs>
        <w:spacing w:before="8"/>
        <w:rPr>
          <w:rFonts w:ascii="宋体" w:hAnsi="宋体" w:eastAsia="宋体" w:cs="宋体"/>
          <w:b/>
          <w:sz w:val="32"/>
          <w:szCs w:val="32"/>
        </w:rPr>
      </w:pPr>
      <w:r>
        <w:rPr>
          <w:rFonts w:hint="eastAsia" w:ascii="宋体" w:hAnsi="宋体" w:eastAsia="宋体" w:cs="宋体"/>
          <w:b/>
          <w:bCs/>
          <w:sz w:val="32"/>
          <w:szCs w:val="32"/>
        </w:rPr>
        <w:t xml:space="preserve">         </w:t>
      </w:r>
      <w:r>
        <w:rPr>
          <w:rFonts w:hint="eastAsia" w:ascii="宋体" w:hAnsi="宋体" w:eastAsia="宋体" w:cs="宋体"/>
          <w:b/>
          <w:bCs/>
          <w:w w:val="99"/>
          <w:kern w:val="2"/>
          <w:sz w:val="32"/>
          <w:szCs w:val="32"/>
        </w:rPr>
        <w:t>日        期：2020年   月</w:t>
      </w:r>
      <w:r>
        <w:rPr>
          <w:rFonts w:hint="eastAsia" w:ascii="宋体" w:hAnsi="宋体" w:eastAsia="宋体" w:cs="宋体"/>
          <w:b/>
          <w:bCs/>
          <w:sz w:val="32"/>
          <w:szCs w:val="32"/>
        </w:rPr>
        <w:t xml:space="preserve"> </w:t>
      </w:r>
    </w:p>
    <w:p>
      <w:pPr>
        <w:spacing w:before="0" w:after="0" w:line="360" w:lineRule="auto"/>
        <w:jc w:val="center"/>
        <w:rPr>
          <w:rFonts w:hint="eastAsia" w:ascii="宋体" w:hAnsi="宋体" w:cs="宋体"/>
          <w:b/>
          <w:bCs/>
          <w:snapToGrid w:val="0"/>
          <w:sz w:val="24"/>
          <w:szCs w:val="24"/>
        </w:rPr>
        <w:sectPr>
          <w:footerReference r:id="rId12" w:type="first"/>
          <w:headerReference r:id="rId10" w:type="default"/>
          <w:footerReference r:id="rId11" w:type="default"/>
          <w:pgSz w:w="11906" w:h="16838"/>
          <w:pgMar w:top="1247" w:right="1247" w:bottom="1247" w:left="1247" w:header="851" w:footer="992" w:gutter="0"/>
          <w:pgNumType w:fmt="decimal"/>
          <w:cols w:space="720" w:num="1"/>
          <w:titlePg/>
          <w:docGrid w:linePitch="381" w:charSpace="0"/>
        </w:sectPr>
      </w:pPr>
    </w:p>
    <w:p>
      <w:pPr>
        <w:spacing w:before="0" w:after="0" w:line="360" w:lineRule="auto"/>
        <w:jc w:val="center"/>
        <w:rPr>
          <w:rFonts w:ascii="宋体" w:hAnsi="宋体" w:cs="宋体"/>
          <w:b/>
          <w:bCs/>
          <w:sz w:val="24"/>
          <w:szCs w:val="24"/>
        </w:rPr>
      </w:pPr>
      <w:r>
        <w:rPr>
          <w:rFonts w:hint="eastAsia" w:ascii="宋体" w:hAnsi="宋体" w:cs="宋体"/>
          <w:b/>
          <w:bCs/>
          <w:snapToGrid w:val="0"/>
          <w:sz w:val="24"/>
          <w:szCs w:val="24"/>
        </w:rPr>
        <w:t>四川省能投攀枝花水电开发有限公司</w:t>
      </w:r>
      <w:r>
        <w:rPr>
          <w:rFonts w:hint="eastAsia" w:ascii="宋体" w:hAnsi="宋体" w:cs="宋体"/>
          <w:b/>
          <w:bCs/>
          <w:snapToGrid w:val="0"/>
          <w:sz w:val="24"/>
          <w:szCs w:val="24"/>
          <w:lang w:val="en-US" w:eastAsia="zh-CN"/>
        </w:rPr>
        <w:t>营地</w:t>
      </w:r>
      <w:r>
        <w:rPr>
          <w:rFonts w:hint="eastAsia" w:ascii="宋体" w:hAnsi="宋体" w:cs="宋体"/>
          <w:b/>
          <w:bCs/>
          <w:snapToGrid w:val="0"/>
          <w:sz w:val="24"/>
          <w:szCs w:val="24"/>
        </w:rPr>
        <w:t>及</w:t>
      </w:r>
      <w:r>
        <w:rPr>
          <w:rFonts w:hint="eastAsia" w:ascii="宋体" w:hAnsi="宋体" w:cs="宋体"/>
          <w:b/>
          <w:bCs/>
          <w:snapToGrid w:val="0"/>
          <w:sz w:val="24"/>
          <w:szCs w:val="24"/>
          <w:lang w:val="en-US" w:eastAsia="zh-CN"/>
        </w:rPr>
        <w:t>电厂</w:t>
      </w:r>
      <w:r>
        <w:rPr>
          <w:rFonts w:hint="eastAsia" w:ascii="宋体" w:hAnsi="宋体" w:cs="宋体"/>
          <w:b/>
          <w:bCs/>
          <w:snapToGrid w:val="0"/>
          <w:sz w:val="24"/>
          <w:szCs w:val="24"/>
        </w:rPr>
        <w:t>物业服务</w:t>
      </w:r>
    </w:p>
    <w:p>
      <w:pPr>
        <w:spacing w:before="0" w:after="0" w:line="360" w:lineRule="auto"/>
        <w:jc w:val="center"/>
        <w:rPr>
          <w:rFonts w:ascii="宋体" w:hAnsi="宋体" w:cs="宋体"/>
          <w:b/>
          <w:sz w:val="24"/>
          <w:szCs w:val="24"/>
        </w:rPr>
      </w:pPr>
      <w:r>
        <w:rPr>
          <w:rFonts w:hint="eastAsia" w:ascii="宋体" w:hAnsi="宋体" w:cs="宋体"/>
          <w:b/>
          <w:sz w:val="24"/>
          <w:szCs w:val="24"/>
        </w:rPr>
        <w:t>合同书</w:t>
      </w:r>
    </w:p>
    <w:p>
      <w:pPr>
        <w:spacing w:before="0" w:after="0" w:line="360" w:lineRule="auto"/>
        <w:jc w:val="center"/>
        <w:rPr>
          <w:rFonts w:ascii="宋体" w:hAnsi="宋体" w:cs="宋体"/>
          <w:kern w:val="0"/>
          <w:sz w:val="24"/>
          <w:szCs w:val="24"/>
        </w:rPr>
      </w:pPr>
      <w:r>
        <w:rPr>
          <w:rFonts w:hint="eastAsia" w:ascii="宋体" w:hAnsi="宋体" w:cs="宋体"/>
          <w:b/>
          <w:sz w:val="24"/>
          <w:szCs w:val="24"/>
        </w:rPr>
        <w:t>（合同编号：）</w:t>
      </w:r>
    </w:p>
    <w:p>
      <w:pPr>
        <w:pStyle w:val="14"/>
        <w:tabs>
          <w:tab w:val="left" w:pos="0"/>
          <w:tab w:val="left" w:pos="3544"/>
          <w:tab w:val="left" w:pos="3686"/>
        </w:tabs>
        <w:spacing w:before="0" w:after="0" w:line="360" w:lineRule="auto"/>
        <w:ind w:firstLine="480" w:firstLineChars="200"/>
        <w:jc w:val="both"/>
        <w:rPr>
          <w:rFonts w:ascii="宋体" w:hAnsi="宋体" w:eastAsia="宋体" w:cs="宋体"/>
          <w:sz w:val="24"/>
          <w:szCs w:val="24"/>
          <w:u w:val="single"/>
        </w:rPr>
      </w:pPr>
      <w:r>
        <w:rPr>
          <w:rFonts w:hint="eastAsia" w:ascii="宋体" w:hAnsi="宋体" w:eastAsia="宋体" w:cs="宋体"/>
          <w:sz w:val="24"/>
          <w:szCs w:val="24"/>
        </w:rPr>
        <w:t>招标人（甲方）：</w:t>
      </w:r>
      <w:r>
        <w:rPr>
          <w:rFonts w:hint="eastAsia" w:ascii="宋体" w:hAnsi="宋体" w:eastAsia="宋体" w:cs="宋体"/>
          <w:sz w:val="24"/>
          <w:szCs w:val="24"/>
          <w:u w:val="single"/>
        </w:rPr>
        <w:t>四川省能投攀枝花水电开发有限公司</w:t>
      </w:r>
    </w:p>
    <w:p>
      <w:pPr>
        <w:pStyle w:val="14"/>
        <w:tabs>
          <w:tab w:val="left" w:pos="0"/>
          <w:tab w:val="left" w:pos="4980"/>
        </w:tabs>
        <w:spacing w:before="0"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spacing w:line="360" w:lineRule="auto"/>
        <w:ind w:firstLine="470" w:firstLineChars="196"/>
        <w:jc w:val="left"/>
        <w:rPr>
          <w:rFonts w:ascii="宋体" w:hAnsi="宋体" w:cs="宋体"/>
          <w:color w:val="000000"/>
          <w:sz w:val="24"/>
          <w:szCs w:val="24"/>
        </w:rPr>
      </w:pPr>
      <w:r>
        <w:rPr>
          <w:rFonts w:hint="eastAsia" w:ascii="宋体" w:hAnsi="宋体" w:eastAsia="宋体" w:cs="宋体"/>
          <w:sz w:val="24"/>
          <w:szCs w:val="24"/>
          <w:lang w:val="en-US" w:eastAsia="zh-CN"/>
        </w:rPr>
        <w:t>根</w:t>
      </w:r>
      <w:r>
        <w:rPr>
          <w:rFonts w:hint="eastAsia" w:ascii="宋体" w:hAnsi="宋体" w:eastAsia="宋体" w:cs="宋体"/>
          <w:color w:val="000000"/>
          <w:sz w:val="24"/>
          <w:szCs w:val="24"/>
          <w:lang w:val="en-US" w:eastAsia="zh-CN"/>
        </w:rPr>
        <w:t>据</w:t>
      </w:r>
      <w:r>
        <w:rPr>
          <w:rFonts w:hint="eastAsia" w:ascii="宋体" w:hAnsi="宋体" w:eastAsia="宋体" w:cs="宋体"/>
          <w:color w:val="000000"/>
          <w:sz w:val="24"/>
          <w:szCs w:val="24"/>
          <w:lang w:eastAsia="zh-CN"/>
        </w:rPr>
        <w:t>《</w:t>
      </w:r>
      <w:r>
        <w:rPr>
          <w:rFonts w:hint="eastAsia" w:ascii="宋体" w:hAnsi="宋体" w:cs="宋体"/>
          <w:color w:val="000000"/>
          <w:kern w:val="2"/>
          <w:sz w:val="24"/>
          <w:szCs w:val="24"/>
        </w:rPr>
        <w:t xml:space="preserve"> </w:t>
      </w:r>
      <w:r>
        <w:rPr>
          <w:rFonts w:hint="eastAsia" w:ascii="宋体" w:hAnsi="宋体" w:cs="宋体"/>
          <w:b w:val="0"/>
          <w:bCs w:val="0"/>
          <w:color w:val="000000"/>
          <w:sz w:val="24"/>
          <w:szCs w:val="24"/>
          <w:lang w:val="en-US" w:eastAsia="zh-CN"/>
        </w:rPr>
        <w:t>川能攀枝花公司营地及电厂</w:t>
      </w:r>
      <w:r>
        <w:rPr>
          <w:rFonts w:hint="eastAsia" w:ascii="宋体" w:hAnsi="宋体" w:cs="宋体"/>
          <w:b w:val="0"/>
          <w:bCs w:val="0"/>
          <w:color w:val="000000"/>
          <w:sz w:val="24"/>
          <w:szCs w:val="24"/>
        </w:rPr>
        <w:t>物业服务</w:t>
      </w:r>
      <w:r>
        <w:rPr>
          <w:rFonts w:hint="eastAsia" w:ascii="宋体" w:hAnsi="宋体" w:cs="宋体"/>
          <w:color w:val="000000"/>
          <w:sz w:val="24"/>
          <w:szCs w:val="24"/>
        </w:rPr>
        <w:t>招标文件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招标编号：</w:t>
      </w:r>
      <w:r>
        <w:rPr>
          <w:rFonts w:hint="eastAsia" w:ascii="宋体" w:hAnsi="宋体" w:cs="宋体"/>
          <w:color w:val="000000"/>
          <w:kern w:val="2"/>
          <w:sz w:val="24"/>
          <w:szCs w:val="24"/>
        </w:rPr>
        <w:t>PZH-JS-QT-202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的招标结果，乙方为中标人，现依据招标文件、投标文件及相关文件的内容</w:t>
      </w:r>
      <w:r>
        <w:rPr>
          <w:rFonts w:hint="eastAsia" w:ascii="宋体" w:hAnsi="宋体" w:eastAsia="宋体" w:cs="宋体"/>
          <w:color w:val="000000"/>
          <w:spacing w:val="0"/>
          <w:sz w:val="24"/>
          <w:szCs w:val="24"/>
        </w:rPr>
        <w:t>，</w:t>
      </w:r>
      <w:r>
        <w:rPr>
          <w:rFonts w:hint="eastAsia" w:ascii="宋体" w:hAnsi="宋体" w:cs="宋体"/>
          <w:color w:val="000000"/>
          <w:sz w:val="24"/>
          <w:szCs w:val="24"/>
        </w:rPr>
        <w:t>就甲方委托乙方对</w:t>
      </w:r>
      <w:r>
        <w:rPr>
          <w:rFonts w:hint="eastAsia" w:ascii="宋体" w:hAnsi="宋体" w:cs="宋体"/>
          <w:color w:val="000000"/>
          <w:sz w:val="24"/>
          <w:szCs w:val="24"/>
          <w:u w:val="single"/>
          <w:lang w:eastAsia="zh-CN"/>
        </w:rPr>
        <w:t>川能攀枝花公司营地及电厂物业服务</w:t>
      </w:r>
      <w:r>
        <w:rPr>
          <w:rFonts w:hint="eastAsia" w:ascii="宋体" w:hAnsi="宋体" w:cs="宋体"/>
          <w:color w:val="000000"/>
          <w:sz w:val="24"/>
          <w:szCs w:val="24"/>
        </w:rPr>
        <w:t>，</w:t>
      </w:r>
      <w:r>
        <w:rPr>
          <w:rFonts w:hint="eastAsia" w:ascii="宋体" w:hAnsi="宋体" w:cs="宋体"/>
          <w:color w:val="000000"/>
          <w:sz w:val="24"/>
          <w:szCs w:val="24"/>
          <w:lang w:eastAsia="zh-CN"/>
        </w:rPr>
        <w:t>协商一致，</w:t>
      </w:r>
      <w:r>
        <w:rPr>
          <w:rFonts w:hint="eastAsia" w:ascii="宋体" w:hAnsi="宋体" w:cs="宋体"/>
          <w:color w:val="000000"/>
          <w:sz w:val="24"/>
          <w:szCs w:val="24"/>
        </w:rPr>
        <w:t>特签订本合同。</w:t>
      </w:r>
    </w:p>
    <w:p>
      <w:pPr>
        <w:ind w:firstLine="482" w:firstLineChars="200"/>
        <w:rPr>
          <w:rFonts w:ascii="宋体" w:hAnsi="宋体" w:cs="宋体"/>
          <w:b/>
          <w:bCs/>
          <w:color w:val="000000"/>
          <w:sz w:val="24"/>
          <w:szCs w:val="24"/>
        </w:rPr>
      </w:pPr>
      <w:r>
        <w:rPr>
          <w:rFonts w:hint="eastAsia" w:ascii="宋体" w:hAnsi="宋体" w:cs="宋体"/>
          <w:b/>
          <w:color w:val="000000"/>
          <w:sz w:val="24"/>
          <w:szCs w:val="24"/>
        </w:rPr>
        <w:t xml:space="preserve">第一条  </w:t>
      </w:r>
      <w:r>
        <w:rPr>
          <w:rFonts w:hint="eastAsia" w:ascii="宋体" w:hAnsi="宋体" w:cs="宋体"/>
          <w:b/>
          <w:bCs/>
          <w:color w:val="000000"/>
          <w:sz w:val="24"/>
          <w:szCs w:val="24"/>
        </w:rPr>
        <w:t>工作范围及内容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一、工作范围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四川省能投攀枝花水电开发有限公司金沙水电站，建筑面积约50000平米的物业管理和物业服务等相关服务；四川能投攀枝花水电开发有限公司</w:t>
      </w:r>
      <w:r>
        <w:rPr>
          <w:rFonts w:hint="eastAsia" w:ascii="宋体" w:hAnsi="宋体" w:cs="宋体"/>
          <w:color w:val="000000"/>
          <w:sz w:val="24"/>
          <w:szCs w:val="24"/>
          <w:lang w:eastAsia="zh-CN"/>
        </w:rPr>
        <w:t>公司营地</w:t>
      </w:r>
      <w:r>
        <w:rPr>
          <w:rFonts w:hint="eastAsia" w:ascii="宋体" w:hAnsi="宋体" w:cs="宋体"/>
          <w:color w:val="000000"/>
          <w:sz w:val="24"/>
          <w:szCs w:val="24"/>
        </w:rPr>
        <w:t>，建筑面积约50000平米的物业管理和物业服务等相关服务。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二、工作内容</w:t>
      </w:r>
    </w:p>
    <w:p>
      <w:pPr>
        <w:spacing w:before="0" w:after="0" w:line="240" w:lineRule="auto"/>
        <w:rPr>
          <w:rFonts w:ascii="宋体" w:hAnsi="宋体" w:cs="宋体"/>
          <w:sz w:val="24"/>
          <w:szCs w:val="24"/>
        </w:rPr>
      </w:pPr>
      <w:r>
        <w:rPr>
          <w:rFonts w:hint="eastAsia" w:ascii="宋体" w:hAnsi="宋体" w:cs="宋体"/>
          <w:sz w:val="24"/>
          <w:szCs w:val="24"/>
        </w:rPr>
        <w:t xml:space="preserve">    2.1金沙水力发电厂：</w:t>
      </w:r>
    </w:p>
    <w:p>
      <w:pPr>
        <w:spacing w:line="360" w:lineRule="auto"/>
        <w:ind w:firstLine="420"/>
        <w:rPr>
          <w:rFonts w:ascii="宋体" w:hAnsi="宋体" w:cs="宋体"/>
          <w:sz w:val="24"/>
          <w:szCs w:val="24"/>
        </w:rPr>
      </w:pPr>
      <w:r>
        <w:rPr>
          <w:rFonts w:hint="eastAsia" w:ascii="宋体" w:hAnsi="宋体" w:cs="宋体"/>
          <w:sz w:val="24"/>
          <w:szCs w:val="24"/>
        </w:rPr>
        <w:t>2.1.1保卫：维护金沙水力发电厂正常生产秩序，在7#公路、35KV变电站适当位置设置门岗，配置保卫值班及巡逻人员12人，24小时有人值守。承担安保、维稳事件的应急处置及属地公安部门的协调工作；参加电厂组织的消防培训、应急演练及紧急事件的应急救援工作。</w:t>
      </w:r>
    </w:p>
    <w:p>
      <w:pPr>
        <w:spacing w:line="360" w:lineRule="auto"/>
        <w:ind w:firstLine="420"/>
        <w:rPr>
          <w:rFonts w:ascii="宋体" w:hAnsi="宋体" w:cs="宋体"/>
          <w:sz w:val="24"/>
          <w:szCs w:val="24"/>
        </w:rPr>
      </w:pPr>
      <w:r>
        <w:rPr>
          <w:rFonts w:hint="eastAsia" w:ascii="宋体" w:hAnsi="宋体" w:cs="宋体"/>
          <w:sz w:val="24"/>
          <w:szCs w:val="24"/>
        </w:rPr>
        <w:t>2.1.2保洁：首台机组投运后，投运设备区域、办公区域、进厂公路等移交电厂管理。为保持投运设备区域（含门窗）、办公区域（含门窗）、进厂公路、1021平台、1027平台等区域环境干净整洁，需配置保洁人员每日清扫卫生。随生产设备及办公区域移交电厂时间节点，逐步配置到位保洁人员9人。</w:t>
      </w:r>
    </w:p>
    <w:p>
      <w:pPr>
        <w:pStyle w:val="78"/>
        <w:spacing w:before="0" w:after="0" w:line="360" w:lineRule="auto"/>
        <w:ind w:firstLine="480"/>
        <w:rPr>
          <w:rFonts w:ascii="宋体" w:hAnsi="宋体" w:cs="宋体"/>
          <w:sz w:val="24"/>
          <w:szCs w:val="24"/>
        </w:rPr>
      </w:pPr>
      <w:r>
        <w:rPr>
          <w:rFonts w:hint="eastAsia" w:ascii="宋体" w:hAnsi="宋体" w:cs="宋体"/>
          <w:sz w:val="24"/>
          <w:szCs w:val="24"/>
        </w:rPr>
        <w:t>2.1.3临时用工：临时员工必须政治素质高，业务能力强，有良好的敬业精神，无违法犯罪记录，具备一定的语言、文字表达能力和沟通能力。服从安排，服从调度。</w:t>
      </w:r>
    </w:p>
    <w:p>
      <w:pPr>
        <w:pStyle w:val="78"/>
        <w:spacing w:before="0" w:after="0" w:line="360" w:lineRule="auto"/>
        <w:ind w:firstLine="480"/>
        <w:rPr>
          <w:rFonts w:ascii="宋体" w:hAnsi="宋体" w:cs="宋体"/>
          <w:sz w:val="24"/>
          <w:szCs w:val="24"/>
        </w:rPr>
      </w:pPr>
      <w:r>
        <w:rPr>
          <w:rFonts w:hint="eastAsia" w:ascii="宋体" w:hAnsi="宋体" w:cs="宋体"/>
          <w:sz w:val="24"/>
          <w:szCs w:val="24"/>
        </w:rPr>
        <w:t>2.1.4红案厨师：工作地点在营地食堂，由营地食堂统一管理，负责金沙水电站夜晚值班运行人员的吃饭相关事宜，配置1人。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2.1.5管理：负责发电厂物业服务的日常管理工作，负责与</w:t>
      </w:r>
      <w:r>
        <w:rPr>
          <w:rFonts w:hint="eastAsia" w:ascii="宋体" w:hAnsi="宋体" w:cs="宋体"/>
          <w:color w:val="000000"/>
          <w:sz w:val="24"/>
          <w:szCs w:val="24"/>
          <w:lang w:eastAsia="zh-CN"/>
        </w:rPr>
        <w:t>川能攀枝花公司</w:t>
      </w:r>
      <w:r>
        <w:rPr>
          <w:rFonts w:hint="eastAsia" w:ascii="宋体" w:hAnsi="宋体" w:cs="宋体"/>
          <w:color w:val="000000"/>
          <w:sz w:val="24"/>
          <w:szCs w:val="24"/>
        </w:rPr>
        <w:t>及公司的工作对接，配置项目助理1人。</w:t>
      </w:r>
    </w:p>
    <w:p>
      <w:pPr>
        <w:spacing w:before="0" w:after="0" w:line="240" w:lineRule="auto"/>
        <w:rPr>
          <w:rFonts w:ascii="宋体" w:hAnsi="宋体" w:cs="宋体"/>
          <w:sz w:val="24"/>
          <w:szCs w:val="24"/>
        </w:rPr>
      </w:pPr>
      <w:r>
        <w:rPr>
          <w:rFonts w:hint="eastAsia" w:ascii="宋体" w:hAnsi="宋体" w:cs="宋体"/>
          <w:sz w:val="24"/>
          <w:szCs w:val="24"/>
        </w:rPr>
        <w:t xml:space="preserve">    2.2 公司营地：</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2.2.1保卫：维护营地大门口及营区内安全秩序维护，配置保卫值班及巡逻人员9人，分为白班、夜班，24小时有人值守。承担营地消防、停车场管理。</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2.1.2.2保洁：营地公共区域卫生清扫和垃圾收集，办公室、接待中心室内保洁服务，配置保洁主管1人，保洁人员10人，合计11人。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2.2.3客服：营地会务服务工作，接待中心客房和茶房服务工作，餐宴接待服务工作，配置客服主管1人，客服人员6人，合计7人。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2.2.4图书管理员：负责营地职工书屋日常管理，配置1人，由客服统一管理。</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2.2.5工程：营地房屋建筑的本体、公共部分的维护管理，中央空调系统、监控系统、消防系统、太阳能系统、空气能系统、照明系统、给排水系统等营地设备设施的日常运行和维护管理，联系并协助特种设备的专业外协单位进行维护和检修，工程、设备的定期巡检，配置工程主管1人，工程人员2人，合计3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2.2.6食堂：负责</w:t>
      </w:r>
      <w:r>
        <w:rPr>
          <w:rFonts w:hint="eastAsia" w:ascii="宋体" w:hAnsi="宋体" w:cs="宋体"/>
          <w:color w:val="000000"/>
          <w:sz w:val="24"/>
          <w:szCs w:val="24"/>
          <w:lang w:eastAsia="zh-CN"/>
        </w:rPr>
        <w:t>公司营地</w:t>
      </w:r>
      <w:r>
        <w:rPr>
          <w:rFonts w:hint="eastAsia" w:ascii="宋体" w:hAnsi="宋体" w:cs="宋体"/>
          <w:color w:val="000000"/>
          <w:sz w:val="24"/>
          <w:szCs w:val="24"/>
        </w:rPr>
        <w:t>员工食堂运营管理和对外接待工作，配置厨师长1人，采购1人，红案厨师2人，白案厨师2人，墩子1人，食堂保洁3人，合计10人。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2.2.7绿化：营区内园林绿化的管理维护，配置绿化主管1人，绿化工2人，合计3人。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2.2.8营地管理：负责营地的日常管理工作，负责与</w:t>
      </w:r>
      <w:r>
        <w:rPr>
          <w:rFonts w:hint="eastAsia" w:ascii="宋体" w:hAnsi="宋体" w:cs="宋体"/>
          <w:color w:val="000000"/>
          <w:sz w:val="24"/>
          <w:szCs w:val="24"/>
          <w:lang w:eastAsia="zh-CN"/>
        </w:rPr>
        <w:t>川能攀枝花公司</w:t>
      </w:r>
      <w:r>
        <w:rPr>
          <w:rFonts w:hint="eastAsia" w:ascii="宋体" w:hAnsi="宋体" w:cs="宋体"/>
          <w:color w:val="000000"/>
          <w:sz w:val="24"/>
          <w:szCs w:val="24"/>
        </w:rPr>
        <w:t>及公司的工作对接，配置项目经理1人，项目助理1人，内勤1人，合计3人。</w:t>
      </w:r>
    </w:p>
    <w:p>
      <w:pPr>
        <w:pStyle w:val="28"/>
        <w:spacing w:before="0" w:after="0" w:line="360" w:lineRule="auto"/>
        <w:ind w:firstLine="482" w:firstLineChars="200"/>
        <w:rPr>
          <w:rFonts w:ascii="宋体" w:hAnsi="宋体" w:cs="宋体"/>
          <w:color w:val="000000"/>
          <w:szCs w:val="24"/>
        </w:rPr>
      </w:pPr>
      <w:r>
        <w:rPr>
          <w:rFonts w:hint="eastAsia" w:ascii="宋体" w:hAnsi="宋体" w:cs="宋体"/>
          <w:b/>
          <w:color w:val="000000"/>
          <w:szCs w:val="24"/>
        </w:rPr>
        <w:t>第二条  合同期限</w:t>
      </w:r>
    </w:p>
    <w:p>
      <w:pPr>
        <w:tabs>
          <w:tab w:val="left" w:pos="1800"/>
        </w:tabs>
        <w:spacing w:line="360" w:lineRule="auto"/>
        <w:ind w:firstLine="480" w:firstLineChars="200"/>
        <w:rPr>
          <w:rFonts w:hint="eastAsia" w:ascii="宋体" w:hAnsi="宋体" w:cs="宋体"/>
          <w:sz w:val="24"/>
          <w:szCs w:val="24"/>
        </w:rPr>
      </w:pPr>
      <w:r>
        <w:rPr>
          <w:rFonts w:hint="eastAsia" w:ascii="宋体" w:hAnsi="宋体" w:cs="宋体"/>
          <w:sz w:val="24"/>
          <w:szCs w:val="24"/>
        </w:rPr>
        <w:t>金沙水力发电厂</w:t>
      </w:r>
      <w:r>
        <w:rPr>
          <w:rFonts w:hint="eastAsia" w:ascii="宋体" w:hAnsi="宋体" w:cs="宋体"/>
          <w:sz w:val="24"/>
          <w:szCs w:val="24"/>
          <w:lang w:eastAsia="zh-CN"/>
        </w:rPr>
        <w:t>物业服务</w:t>
      </w:r>
      <w:r>
        <w:rPr>
          <w:rFonts w:hint="eastAsia" w:ascii="宋体" w:hAnsi="宋体" w:cs="宋体"/>
          <w:sz w:val="24"/>
          <w:szCs w:val="24"/>
        </w:rPr>
        <w:t>合同期限</w:t>
      </w:r>
      <w:r>
        <w:rPr>
          <w:rFonts w:hint="eastAsia" w:ascii="宋体" w:hAnsi="宋体" w:cs="宋体"/>
          <w:sz w:val="24"/>
          <w:szCs w:val="24"/>
          <w:lang w:eastAsia="zh-CN"/>
        </w:rPr>
        <w:t>：</w:t>
      </w:r>
      <w:r>
        <w:rPr>
          <w:rFonts w:hint="eastAsia" w:ascii="宋体" w:hAnsi="宋体" w:cs="宋体"/>
          <w:sz w:val="24"/>
          <w:szCs w:val="24"/>
        </w:rPr>
        <w:t>自合同签订之日起-202</w:t>
      </w:r>
      <w:r>
        <w:rPr>
          <w:rFonts w:hint="eastAsia" w:ascii="宋体" w:hAnsi="宋体" w:cs="宋体"/>
          <w:sz w:val="24"/>
          <w:szCs w:val="24"/>
          <w:lang w:val="en-US" w:eastAsia="zh-CN"/>
        </w:rPr>
        <w:t>1</w:t>
      </w:r>
      <w:r>
        <w:rPr>
          <w:rFonts w:hint="eastAsia" w:ascii="宋体" w:hAnsi="宋体" w:cs="宋体"/>
          <w:sz w:val="24"/>
          <w:szCs w:val="24"/>
        </w:rPr>
        <w:t>年12月31日。</w:t>
      </w:r>
    </w:p>
    <w:p>
      <w:pPr>
        <w:tabs>
          <w:tab w:val="left" w:pos="1800"/>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公司营地物业服务</w:t>
      </w:r>
      <w:r>
        <w:rPr>
          <w:rFonts w:hint="eastAsia" w:ascii="宋体" w:hAnsi="宋体" w:cs="宋体"/>
          <w:sz w:val="24"/>
          <w:szCs w:val="24"/>
        </w:rPr>
        <w:t>合同期限</w:t>
      </w:r>
      <w:r>
        <w:rPr>
          <w:rFonts w:hint="eastAsia" w:ascii="宋体" w:hAnsi="宋体" w:cs="宋体"/>
          <w:sz w:val="24"/>
          <w:szCs w:val="24"/>
          <w:lang w:eastAsia="zh-CN"/>
        </w:rPr>
        <w:t>：</w:t>
      </w:r>
      <w:r>
        <w:rPr>
          <w:rFonts w:hint="eastAsia" w:ascii="宋体" w:hAnsi="宋体" w:cs="宋体"/>
          <w:sz w:val="24"/>
          <w:szCs w:val="24"/>
        </w:rPr>
        <w:t>自2022年1月1日-202</w:t>
      </w:r>
      <w:r>
        <w:rPr>
          <w:rFonts w:hint="eastAsia" w:ascii="宋体" w:hAnsi="宋体" w:cs="宋体"/>
          <w:sz w:val="24"/>
          <w:szCs w:val="24"/>
          <w:lang w:val="en-US" w:eastAsia="zh-CN"/>
        </w:rPr>
        <w:t>3</w:t>
      </w:r>
      <w:r>
        <w:rPr>
          <w:rFonts w:hint="eastAsia" w:ascii="宋体" w:hAnsi="宋体" w:cs="宋体"/>
          <w:sz w:val="24"/>
          <w:szCs w:val="24"/>
        </w:rPr>
        <w:t>年12月31日。</w:t>
      </w:r>
    </w:p>
    <w:p>
      <w:pPr>
        <w:tabs>
          <w:tab w:val="left" w:pos="1800"/>
        </w:tabs>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合同到期后，</w:t>
      </w:r>
      <w:r>
        <w:rPr>
          <w:rFonts w:hint="eastAsia" w:ascii="宋体" w:hAnsi="宋体" w:cs="宋体"/>
          <w:color w:val="000000"/>
          <w:sz w:val="24"/>
          <w:szCs w:val="24"/>
          <w:lang w:eastAsia="zh-CN"/>
        </w:rPr>
        <w:t>通过甲方对乙方物业服务进行打分，打分在</w:t>
      </w:r>
      <w:r>
        <w:rPr>
          <w:rFonts w:hint="eastAsia" w:ascii="宋体" w:hAnsi="宋体" w:cs="宋体"/>
          <w:color w:val="000000"/>
          <w:sz w:val="24"/>
          <w:szCs w:val="24"/>
          <w:lang w:val="en-US" w:eastAsia="zh-CN"/>
        </w:rPr>
        <w:t>C级及以上续签合同，如果打分在C级以下，则解除合同</w:t>
      </w:r>
      <w:r>
        <w:rPr>
          <w:rFonts w:hint="eastAsia" w:ascii="宋体" w:hAnsi="宋体" w:cs="宋体"/>
          <w:color w:val="000000"/>
          <w:sz w:val="24"/>
          <w:szCs w:val="24"/>
          <w:lang w:eastAsia="zh-CN"/>
        </w:rPr>
        <w:t>。</w:t>
      </w:r>
    </w:p>
    <w:p>
      <w:pPr>
        <w:pStyle w:val="28"/>
        <w:spacing w:before="0" w:after="0" w:line="360" w:lineRule="auto"/>
        <w:ind w:firstLine="482" w:firstLineChars="200"/>
        <w:rPr>
          <w:rFonts w:ascii="宋体" w:hAnsi="宋体" w:cs="宋体"/>
          <w:b/>
          <w:color w:val="000000"/>
          <w:szCs w:val="24"/>
        </w:rPr>
      </w:pPr>
      <w:r>
        <w:rPr>
          <w:rFonts w:hint="eastAsia" w:ascii="宋体" w:hAnsi="宋体" w:cs="宋体"/>
          <w:b/>
          <w:color w:val="000000"/>
          <w:szCs w:val="24"/>
        </w:rPr>
        <w:t>第三条  服务要求和标准</w:t>
      </w:r>
    </w:p>
    <w:p>
      <w:pPr>
        <w:pStyle w:val="28"/>
        <w:spacing w:before="0" w:after="0" w:line="360" w:lineRule="auto"/>
        <w:ind w:firstLine="480" w:firstLineChars="200"/>
        <w:rPr>
          <w:rFonts w:ascii="宋体" w:hAnsi="宋体" w:cs="宋体"/>
          <w:szCs w:val="24"/>
        </w:rPr>
      </w:pPr>
      <w:r>
        <w:rPr>
          <w:rFonts w:hint="eastAsia" w:ascii="宋体" w:hAnsi="宋体" w:cs="宋体"/>
          <w:color w:val="000000"/>
          <w:szCs w:val="24"/>
        </w:rPr>
        <w:t>乙方设立“</w:t>
      </w:r>
      <w:r>
        <w:rPr>
          <w:rFonts w:hint="eastAsia" w:ascii="宋体" w:hAnsi="宋体" w:cs="宋体"/>
          <w:szCs w:val="24"/>
        </w:rPr>
        <w:t xml:space="preserve">       攀枝花项目部</w:t>
      </w:r>
      <w:r>
        <w:rPr>
          <w:rFonts w:hint="eastAsia" w:ascii="宋体" w:hAnsi="宋体" w:cs="宋体"/>
          <w:color w:val="000000"/>
          <w:szCs w:val="24"/>
        </w:rPr>
        <w:t>”，</w:t>
      </w:r>
      <w:r>
        <w:rPr>
          <w:rFonts w:hint="eastAsia" w:ascii="宋体" w:hAnsi="宋体" w:cs="宋体"/>
          <w:szCs w:val="24"/>
        </w:rPr>
        <w:t>合同有效期内，       公司</w:t>
      </w:r>
      <w:r>
        <w:rPr>
          <w:rFonts w:hint="eastAsia" w:ascii="宋体" w:hAnsi="宋体" w:cs="宋体"/>
          <w:color w:val="000000"/>
          <w:szCs w:val="24"/>
        </w:rPr>
        <w:t>需选配专业性物业管理和服务人员，并</w:t>
      </w:r>
      <w:r>
        <w:rPr>
          <w:rFonts w:hint="eastAsia" w:ascii="宋体" w:hAnsi="宋体" w:cs="宋体"/>
          <w:szCs w:val="24"/>
        </w:rPr>
        <w:t>根据工作实际需要进行相应人力资源的配置。如因管理需要，人员发生增减变化需报经甲方同意，甲方将按月考核乙方实际人员到位情况，双方签字确认后，作为当期结算支付的依据。</w:t>
      </w:r>
    </w:p>
    <w:p>
      <w:pPr>
        <w:pStyle w:val="28"/>
        <w:spacing w:before="0" w:after="0" w:line="360" w:lineRule="auto"/>
        <w:ind w:firstLine="480" w:firstLineChars="200"/>
        <w:rPr>
          <w:rFonts w:hint="eastAsia" w:ascii="宋体" w:hAnsi="宋体" w:cs="宋体"/>
          <w:color w:val="000000"/>
          <w:szCs w:val="24"/>
        </w:rPr>
      </w:pPr>
      <w:r>
        <w:rPr>
          <w:rFonts w:hint="eastAsia" w:ascii="宋体" w:hAnsi="宋体" w:cs="宋体"/>
          <w:color w:val="000000"/>
          <w:szCs w:val="24"/>
        </w:rPr>
        <w:t>保卫、保洁、仓库管理及临时用工服务的要求和标准，详见附件1：《金沙水力发电厂物业管理服务标准》。</w:t>
      </w:r>
    </w:p>
    <w:p>
      <w:pPr>
        <w:pStyle w:val="28"/>
        <w:spacing w:before="0" w:after="0" w:line="360" w:lineRule="auto"/>
        <w:ind w:firstLine="480" w:firstLineChars="200"/>
        <w:rPr>
          <w:rFonts w:hint="eastAsia" w:ascii="宋体" w:hAnsi="宋体" w:cs="宋体"/>
          <w:color w:val="000000"/>
          <w:szCs w:val="24"/>
          <w:lang w:eastAsia="zh-CN"/>
        </w:rPr>
      </w:pPr>
      <w:r>
        <w:rPr>
          <w:rFonts w:hint="eastAsia" w:ascii="宋体" w:hAnsi="宋体" w:cs="宋体"/>
          <w:color w:val="000000"/>
          <w:szCs w:val="24"/>
          <w:lang w:eastAsia="zh-CN"/>
        </w:rPr>
        <w:t>乙方还应承担及提供下列服务：</w:t>
      </w:r>
    </w:p>
    <w:p>
      <w:pPr>
        <w:pStyle w:val="28"/>
        <w:numPr>
          <w:ilvl w:val="0"/>
          <w:numId w:val="1"/>
        </w:numPr>
        <w:spacing w:before="0" w:after="0" w:line="360" w:lineRule="auto"/>
        <w:ind w:firstLine="480" w:firstLineChars="200"/>
        <w:rPr>
          <w:rFonts w:hint="eastAsia" w:ascii="宋体" w:hAnsi="宋体" w:cs="宋体"/>
          <w:color w:val="000000"/>
          <w:szCs w:val="24"/>
          <w:lang w:eastAsia="zh-CN"/>
        </w:rPr>
      </w:pPr>
      <w:r>
        <w:rPr>
          <w:rFonts w:hint="eastAsia" w:ascii="宋体" w:hAnsi="宋体" w:cs="宋体"/>
          <w:color w:val="000000"/>
          <w:szCs w:val="24"/>
          <w:lang w:eastAsia="zh-CN"/>
        </w:rPr>
        <w:t>做好安全防范工作，发生安全事故，及时向加饭个有关部门报告，采取相应措施，协助做好救助工作。</w:t>
      </w:r>
    </w:p>
    <w:p>
      <w:pPr>
        <w:pStyle w:val="28"/>
        <w:numPr>
          <w:ilvl w:val="0"/>
          <w:numId w:val="1"/>
        </w:numPr>
        <w:spacing w:before="0" w:after="0" w:line="360" w:lineRule="auto"/>
        <w:ind w:firstLine="480" w:firstLineChars="200"/>
        <w:rPr>
          <w:rFonts w:hint="eastAsia" w:ascii="宋体" w:hAnsi="宋体" w:cs="宋体"/>
          <w:color w:val="000000"/>
          <w:szCs w:val="24"/>
          <w:lang w:eastAsia="zh-CN"/>
        </w:rPr>
      </w:pPr>
      <w:r>
        <w:rPr>
          <w:rFonts w:hint="eastAsia" w:ascii="宋体" w:hAnsi="宋体" w:cs="宋体"/>
          <w:color w:val="000000"/>
          <w:szCs w:val="24"/>
          <w:lang w:eastAsia="zh-CN"/>
        </w:rPr>
        <w:t>负责编制物业共用部位、共用设施设备、绿化的年度维修养护方案。</w:t>
      </w:r>
    </w:p>
    <w:p>
      <w:pPr>
        <w:pStyle w:val="28"/>
        <w:numPr>
          <w:ilvl w:val="0"/>
          <w:numId w:val="1"/>
        </w:numPr>
        <w:spacing w:before="0" w:after="0" w:line="360" w:lineRule="auto"/>
        <w:ind w:firstLine="480" w:firstLineChars="200"/>
        <w:rPr>
          <w:rFonts w:hint="eastAsia" w:ascii="宋体" w:hAnsi="宋体" w:cs="宋体"/>
          <w:color w:val="000000"/>
          <w:szCs w:val="24"/>
          <w:lang w:eastAsia="zh-CN"/>
        </w:rPr>
      </w:pPr>
      <w:r>
        <w:rPr>
          <w:rFonts w:hint="eastAsia" w:ascii="宋体" w:hAnsi="宋体" w:cs="宋体"/>
          <w:color w:val="000000"/>
          <w:szCs w:val="24"/>
          <w:lang w:eastAsia="zh-CN"/>
        </w:rPr>
        <w:t>对物业区域违反有关治安、环保、物业装饰装修和使用等方面法律、法规和规章的行为，应当及时告知、建议、劝阻，并向甲方报告。</w:t>
      </w:r>
    </w:p>
    <w:p>
      <w:pPr>
        <w:pStyle w:val="28"/>
        <w:numPr>
          <w:ilvl w:val="0"/>
          <w:numId w:val="1"/>
        </w:numPr>
        <w:spacing w:before="0" w:after="0" w:line="360" w:lineRule="auto"/>
        <w:ind w:firstLine="480" w:firstLineChars="200"/>
        <w:rPr>
          <w:rFonts w:hint="eastAsia" w:ascii="宋体" w:hAnsi="宋体" w:cs="宋体"/>
          <w:color w:val="000000"/>
          <w:szCs w:val="24"/>
          <w:lang w:eastAsia="zh-CN"/>
        </w:rPr>
      </w:pPr>
      <w:r>
        <w:rPr>
          <w:rFonts w:hint="eastAsia" w:ascii="宋体" w:hAnsi="宋体" w:cs="宋体"/>
          <w:color w:val="000000"/>
          <w:szCs w:val="24"/>
          <w:lang w:eastAsia="zh-CN"/>
        </w:rPr>
        <w:t>制定预防火灾、水灾等应急突发事件的工作预案，明确妥善处置应急事件或急迫性维修的具体内容。</w:t>
      </w:r>
    </w:p>
    <w:p>
      <w:pPr>
        <w:pStyle w:val="28"/>
        <w:numPr>
          <w:ilvl w:val="0"/>
          <w:numId w:val="1"/>
        </w:numPr>
        <w:spacing w:before="0" w:after="0" w:line="360" w:lineRule="auto"/>
        <w:ind w:firstLine="480" w:firstLineChars="200"/>
        <w:rPr>
          <w:rFonts w:hint="eastAsia" w:ascii="宋体" w:hAnsi="宋体" w:cs="宋体"/>
          <w:color w:val="000000"/>
          <w:szCs w:val="24"/>
          <w:lang w:eastAsia="zh-CN"/>
        </w:rPr>
      </w:pPr>
      <w:r>
        <w:rPr>
          <w:rFonts w:hint="eastAsia" w:ascii="宋体" w:hAnsi="宋体" w:cs="宋体"/>
          <w:color w:val="000000"/>
          <w:szCs w:val="24"/>
          <w:lang w:eastAsia="zh-CN"/>
        </w:rPr>
        <w:t>设立服务监督电话，并在物业区域内公示。</w:t>
      </w:r>
    </w:p>
    <w:p>
      <w:pPr>
        <w:pStyle w:val="28"/>
        <w:spacing w:before="0" w:after="0" w:line="360" w:lineRule="auto"/>
        <w:ind w:firstLine="482" w:firstLineChars="200"/>
        <w:rPr>
          <w:rFonts w:ascii="宋体" w:hAnsi="宋体" w:cs="宋体"/>
          <w:b/>
          <w:color w:val="000000"/>
          <w:szCs w:val="24"/>
        </w:rPr>
      </w:pPr>
      <w:r>
        <w:rPr>
          <w:rFonts w:hint="eastAsia" w:ascii="宋体" w:hAnsi="宋体" w:cs="宋体"/>
          <w:b/>
          <w:color w:val="000000"/>
          <w:szCs w:val="24"/>
        </w:rPr>
        <w:t>第四条  合同形式和结算支付方式</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kern w:val="0"/>
          <w:sz w:val="24"/>
          <w:szCs w:val="24"/>
        </w:rPr>
        <w:t>一、</w:t>
      </w:r>
      <w:r>
        <w:rPr>
          <w:rFonts w:hint="eastAsia" w:ascii="宋体" w:hAnsi="宋体" w:cs="宋体"/>
          <w:sz w:val="24"/>
          <w:szCs w:val="24"/>
          <w:highlight w:val="none"/>
        </w:rPr>
        <w:t>该合同中物业服务费明细表详见报价表，</w:t>
      </w:r>
      <w:r>
        <w:rPr>
          <w:rFonts w:hint="eastAsia" w:ascii="宋体" w:hAnsi="宋体" w:cs="宋体"/>
          <w:sz w:val="24"/>
          <w:szCs w:val="24"/>
          <w:highlight w:val="none"/>
          <w:lang w:val="en-US" w:eastAsia="zh-CN"/>
        </w:rPr>
        <w:t>合同约定期内，不对单价作任何调整。</w:t>
      </w:r>
    </w:p>
    <w:p>
      <w:pPr>
        <w:spacing w:line="360" w:lineRule="auto"/>
        <w:ind w:firstLine="480" w:firstLineChars="200"/>
        <w:rPr>
          <w:rFonts w:ascii="宋体" w:hAnsi="宋体" w:cs="宋体"/>
          <w:kern w:val="0"/>
          <w:sz w:val="24"/>
          <w:szCs w:val="24"/>
        </w:rPr>
      </w:pPr>
      <w:r>
        <w:rPr>
          <w:rFonts w:hint="eastAsia" w:ascii="宋体" w:hAnsi="宋体" w:cs="宋体"/>
          <w:color w:val="000000"/>
          <w:kern w:val="0"/>
          <w:sz w:val="24"/>
          <w:szCs w:val="24"/>
        </w:rPr>
        <w:t>二、管理服务期内，暂列金额使用范围包括：</w:t>
      </w:r>
      <w:r>
        <w:rPr>
          <w:rFonts w:hint="eastAsia" w:ascii="宋体" w:hAnsi="宋体" w:cs="宋体"/>
          <w:kern w:val="0"/>
          <w:sz w:val="24"/>
          <w:szCs w:val="24"/>
        </w:rPr>
        <w:t>公用部位、公用设施设备的日常运行、维护；管理区域清洁卫生；物业管理区域绿化养护；物业管理区域秩序维护等所需要的保洁用品、维护修理用材料、备品备件等。合同履行过程中，由乙方具体负责办理（计划报批、采购、使用和管理），所发生的费用由甲方承担，加收</w:t>
      </w:r>
      <w:r>
        <w:rPr>
          <w:rFonts w:hint="eastAsia" w:ascii="宋体" w:hAnsi="宋体" w:cs="宋体"/>
          <w:kern w:val="0"/>
          <w:sz w:val="24"/>
          <w:szCs w:val="24"/>
          <w:lang w:val="en-US" w:eastAsia="zh-CN"/>
        </w:rPr>
        <w:t>5</w:t>
      </w:r>
      <w:r>
        <w:rPr>
          <w:rFonts w:hint="eastAsia" w:ascii="宋体" w:hAnsi="宋体" w:cs="宋体"/>
          <w:kern w:val="0"/>
          <w:sz w:val="24"/>
          <w:szCs w:val="24"/>
        </w:rPr>
        <w:t>%的管理费和相应标准的税金。每季度根据甲方管理部门审核确认的费用，纳入乙方结算中支付。</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三、考核评分：</w:t>
      </w:r>
    </w:p>
    <w:p>
      <w:pPr>
        <w:pStyle w:val="14"/>
        <w:rPr>
          <w:rFonts w:ascii="宋体" w:hAnsi="宋体" w:eastAsia="宋体" w:cs="宋体"/>
          <w:sz w:val="24"/>
          <w:szCs w:val="24"/>
        </w:rPr>
      </w:pPr>
      <w:r>
        <w:rPr>
          <w:rFonts w:hint="eastAsia" w:ascii="宋体" w:hAnsi="宋体" w:eastAsia="宋体" w:cs="宋体"/>
          <w:sz w:val="24"/>
          <w:szCs w:val="24"/>
        </w:rPr>
        <w:t xml:space="preserve">    1.物业服务质量考核以月度为单位，甲方定期对乙方的服务质量予以考核，根据每月满意度考核评分表进行考核。由甲方按照《物业服务质量满意度评分表》对物业服务质量进行考核评分。</w:t>
      </w:r>
    </w:p>
    <w:p>
      <w:pPr>
        <w:pStyle w:val="14"/>
        <w:rPr>
          <w:rFonts w:ascii="宋体" w:hAnsi="宋体" w:eastAsia="宋体" w:cs="宋体"/>
          <w:sz w:val="24"/>
          <w:szCs w:val="24"/>
        </w:rPr>
      </w:pPr>
      <w:r>
        <w:rPr>
          <w:rFonts w:hint="eastAsia" w:ascii="宋体" w:hAnsi="宋体" w:eastAsia="宋体" w:cs="宋体"/>
          <w:sz w:val="24"/>
          <w:szCs w:val="24"/>
        </w:rPr>
        <w:t xml:space="preserve">    2.考核计酬基数：经双方确认物业服务费中（含基础物业服务）管理费用和利润总和的3%做为考核计酬基数。</w:t>
      </w:r>
    </w:p>
    <w:p>
      <w:pPr>
        <w:pStyle w:val="14"/>
        <w:rPr>
          <w:rFonts w:ascii="宋体" w:hAnsi="宋体" w:eastAsia="宋体" w:cs="宋体"/>
          <w:sz w:val="24"/>
          <w:szCs w:val="24"/>
        </w:rPr>
      </w:pPr>
      <w:r>
        <w:rPr>
          <w:rFonts w:hint="eastAsia" w:ascii="宋体" w:hAnsi="宋体" w:eastAsia="宋体" w:cs="宋体"/>
          <w:sz w:val="24"/>
          <w:szCs w:val="24"/>
        </w:rPr>
        <w:t xml:space="preserve">    3.根据最终的质量考核得分，考核结果共划分为A、B、C、D</w:t>
      </w:r>
      <w:r>
        <w:rPr>
          <w:rFonts w:hint="eastAsia" w:ascii="宋体" w:hAnsi="宋体" w:eastAsia="宋体" w:cs="宋体"/>
          <w:sz w:val="24"/>
          <w:szCs w:val="24"/>
          <w:lang w:eastAsia="zh-CN"/>
        </w:rPr>
        <w:t>四</w:t>
      </w:r>
      <w:r>
        <w:rPr>
          <w:rFonts w:hint="eastAsia" w:ascii="宋体" w:hAnsi="宋体" w:eastAsia="宋体" w:cs="宋体"/>
          <w:sz w:val="24"/>
          <w:szCs w:val="24"/>
        </w:rPr>
        <w:t>个等级，其中：</w:t>
      </w:r>
    </w:p>
    <w:p>
      <w:pPr>
        <w:pStyle w:val="14"/>
        <w:rPr>
          <w:rFonts w:ascii="宋体" w:hAnsi="宋体" w:eastAsia="宋体" w:cs="宋体"/>
          <w:sz w:val="24"/>
          <w:szCs w:val="24"/>
        </w:rPr>
      </w:pPr>
      <w:r>
        <w:rPr>
          <w:rFonts w:hint="eastAsia" w:ascii="宋体" w:hAnsi="宋体" w:eastAsia="宋体" w:cs="宋体"/>
          <w:sz w:val="24"/>
          <w:szCs w:val="24"/>
        </w:rPr>
        <w:t xml:space="preserve">    A级为满意，考核平均得分在95分～100分，能够提供高品质的物业管理及服务，成绩突出，受到甲方的表扬；考核系数为1.1。</w:t>
      </w:r>
    </w:p>
    <w:p>
      <w:pPr>
        <w:pStyle w:val="14"/>
        <w:rPr>
          <w:rFonts w:ascii="宋体" w:hAnsi="宋体" w:eastAsia="宋体" w:cs="宋体"/>
          <w:sz w:val="24"/>
          <w:szCs w:val="24"/>
        </w:rPr>
      </w:pPr>
      <w:r>
        <w:rPr>
          <w:rFonts w:hint="eastAsia" w:ascii="宋体" w:hAnsi="宋体" w:eastAsia="宋体" w:cs="宋体"/>
          <w:sz w:val="24"/>
          <w:szCs w:val="24"/>
        </w:rPr>
        <w:t xml:space="preserve">    B级为</w:t>
      </w:r>
      <w:r>
        <w:rPr>
          <w:rFonts w:hint="eastAsia" w:ascii="宋体" w:hAnsi="宋体" w:eastAsia="宋体" w:cs="宋体"/>
          <w:sz w:val="24"/>
          <w:szCs w:val="24"/>
          <w:lang w:eastAsia="zh-CN"/>
        </w:rPr>
        <w:t>良好</w:t>
      </w:r>
      <w:r>
        <w:rPr>
          <w:rFonts w:hint="eastAsia" w:ascii="宋体" w:hAnsi="宋体" w:eastAsia="宋体" w:cs="宋体"/>
          <w:sz w:val="24"/>
          <w:szCs w:val="24"/>
        </w:rPr>
        <w:t>，考核平均得分在</w:t>
      </w:r>
      <w:r>
        <w:rPr>
          <w:rFonts w:hint="eastAsia" w:ascii="宋体" w:hAnsi="宋体" w:eastAsia="宋体" w:cs="宋体"/>
          <w:sz w:val="24"/>
          <w:szCs w:val="24"/>
          <w:lang w:val="en-US" w:eastAsia="zh-CN"/>
        </w:rPr>
        <w:t>90</w:t>
      </w:r>
      <w:r>
        <w:rPr>
          <w:rFonts w:hint="eastAsia" w:ascii="宋体" w:hAnsi="宋体" w:eastAsia="宋体" w:cs="宋体"/>
          <w:sz w:val="24"/>
          <w:szCs w:val="24"/>
        </w:rPr>
        <w:t>分～94分，能够较好地提供各项物业管理及服务，成绩优良，各项工作开展有序规范；考核系数为1。</w:t>
      </w:r>
    </w:p>
    <w:p>
      <w:pPr>
        <w:pStyle w:val="14"/>
        <w:ind w:firstLine="480"/>
        <w:rPr>
          <w:rFonts w:hint="eastAsia" w:ascii="宋体" w:hAnsi="宋体" w:eastAsia="宋体" w:cs="宋体"/>
          <w:sz w:val="24"/>
          <w:szCs w:val="24"/>
        </w:rPr>
      </w:pPr>
      <w:r>
        <w:rPr>
          <w:rFonts w:hint="eastAsia" w:ascii="宋体" w:hAnsi="宋体" w:eastAsia="宋体" w:cs="宋体"/>
          <w:sz w:val="24"/>
          <w:szCs w:val="24"/>
        </w:rPr>
        <w:t>C级为</w:t>
      </w:r>
      <w:r>
        <w:rPr>
          <w:rFonts w:hint="eastAsia" w:ascii="宋体" w:hAnsi="宋体" w:eastAsia="宋体" w:cs="宋体"/>
          <w:sz w:val="24"/>
          <w:szCs w:val="24"/>
          <w:lang w:eastAsia="zh-CN"/>
        </w:rPr>
        <w:t>一般</w:t>
      </w:r>
      <w:r>
        <w:rPr>
          <w:rFonts w:hint="eastAsia" w:ascii="宋体" w:hAnsi="宋体" w:eastAsia="宋体" w:cs="宋体"/>
          <w:sz w:val="24"/>
          <w:szCs w:val="24"/>
        </w:rPr>
        <w:t>，考核平均得分在</w:t>
      </w:r>
      <w:r>
        <w:rPr>
          <w:rFonts w:hint="eastAsia" w:ascii="宋体" w:hAnsi="宋体" w:eastAsia="宋体" w:cs="宋体"/>
          <w:sz w:val="24"/>
          <w:szCs w:val="24"/>
          <w:lang w:val="en-US" w:eastAsia="zh-CN"/>
        </w:rPr>
        <w:t>80</w:t>
      </w:r>
      <w:r>
        <w:rPr>
          <w:rFonts w:hint="eastAsia" w:ascii="宋体" w:hAnsi="宋体" w:eastAsia="宋体" w:cs="宋体"/>
          <w:sz w:val="24"/>
          <w:szCs w:val="24"/>
        </w:rPr>
        <w:t>分～8</w:t>
      </w:r>
      <w:r>
        <w:rPr>
          <w:rFonts w:hint="eastAsia" w:ascii="宋体" w:hAnsi="宋体" w:eastAsia="宋体" w:cs="宋体"/>
          <w:sz w:val="24"/>
          <w:szCs w:val="24"/>
          <w:lang w:val="en-US" w:eastAsia="zh-CN"/>
        </w:rPr>
        <w:t>9</w:t>
      </w:r>
      <w:r>
        <w:rPr>
          <w:rFonts w:hint="eastAsia" w:ascii="宋体" w:hAnsi="宋体" w:eastAsia="宋体" w:cs="宋体"/>
          <w:sz w:val="24"/>
          <w:szCs w:val="24"/>
        </w:rPr>
        <w:t>分，基本能够完成物业管理及服务，部分服务不能满足需求、服务品质需要再加强；考核系数为0.9。</w:t>
      </w:r>
    </w:p>
    <w:p>
      <w:pPr>
        <w:pStyle w:val="14"/>
        <w:ind w:firstLine="480"/>
        <w:rPr>
          <w:rFonts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级为不满意，考核平均得分在</w:t>
      </w:r>
      <w:r>
        <w:rPr>
          <w:rFonts w:hint="eastAsia" w:ascii="宋体" w:hAnsi="宋体" w:eastAsia="宋体" w:cs="宋体"/>
          <w:sz w:val="24"/>
          <w:szCs w:val="24"/>
          <w:lang w:val="en-US" w:eastAsia="zh-CN"/>
        </w:rPr>
        <w:t>80</w:t>
      </w:r>
      <w:r>
        <w:rPr>
          <w:rFonts w:hint="eastAsia" w:ascii="宋体" w:hAnsi="宋体" w:eastAsia="宋体" w:cs="宋体"/>
          <w:sz w:val="24"/>
          <w:szCs w:val="24"/>
        </w:rPr>
        <w:t>分以下，不能满足甲方的各项物业服务需求，日常物业服务工作无主动性、无及时性、工作质量不能保证；考核系数为0，</w:t>
      </w:r>
      <w:r>
        <w:rPr>
          <w:rFonts w:hint="eastAsia" w:ascii="宋体" w:hAnsi="宋体" w:eastAsia="宋体" w:cs="宋体"/>
          <w:sz w:val="24"/>
          <w:szCs w:val="24"/>
          <w:lang w:eastAsia="zh-CN"/>
        </w:rPr>
        <w:t>如果年终考核</w:t>
      </w:r>
      <w:r>
        <w:rPr>
          <w:rFonts w:hint="eastAsia" w:ascii="宋体" w:hAnsi="宋体" w:eastAsia="宋体" w:cs="宋体"/>
          <w:sz w:val="24"/>
          <w:szCs w:val="24"/>
        </w:rPr>
        <w:t>出现此考核结果直接解除合同。</w:t>
      </w:r>
    </w:p>
    <w:p>
      <w:pPr>
        <w:pStyle w:val="14"/>
        <w:rPr>
          <w:rFonts w:ascii="宋体" w:hAnsi="宋体" w:eastAsia="宋体" w:cs="宋体"/>
          <w:sz w:val="24"/>
          <w:szCs w:val="24"/>
        </w:rPr>
      </w:pPr>
      <w:r>
        <w:rPr>
          <w:rFonts w:hint="eastAsia" w:ascii="宋体" w:hAnsi="宋体" w:eastAsia="宋体" w:cs="宋体"/>
          <w:sz w:val="24"/>
          <w:szCs w:val="24"/>
        </w:rPr>
        <w:t xml:space="preserve">    4.根据月度考核得分等级所对应的考核系数乘以月度考核计酬基数为本月度实际考核得酬数。于月度完结次月5日内完成上月度考核，实际考核得酬数在甲方下月度物业服务费预付款中进行增加或扣减。</w:t>
      </w:r>
    </w:p>
    <w:p>
      <w:pPr>
        <w:spacing w:line="360" w:lineRule="auto"/>
        <w:ind w:firstLine="480" w:firstLineChars="200"/>
        <w:rPr>
          <w:rFonts w:ascii="宋体" w:hAnsi="宋体" w:cs="宋体"/>
          <w:sz w:val="24"/>
          <w:szCs w:val="24"/>
        </w:rPr>
      </w:pPr>
      <w:r>
        <w:rPr>
          <w:rFonts w:hint="eastAsia" w:ascii="宋体" w:hAnsi="宋体" w:cs="宋体"/>
          <w:kern w:val="0"/>
          <w:sz w:val="24"/>
          <w:szCs w:val="24"/>
        </w:rPr>
        <w:t>四、</w:t>
      </w:r>
      <w:r>
        <w:rPr>
          <w:rFonts w:hint="eastAsia" w:ascii="宋体" w:hAnsi="宋体" w:cs="宋体"/>
          <w:color w:val="000000"/>
          <w:kern w:val="0"/>
          <w:sz w:val="24"/>
          <w:szCs w:val="24"/>
        </w:rPr>
        <w:t>结算及支付：按季度进行结算支付</w:t>
      </w:r>
      <w:r>
        <w:rPr>
          <w:rFonts w:hint="eastAsia" w:ascii="宋体" w:hAnsi="宋体" w:cs="宋体"/>
          <w:kern w:val="0"/>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乙方在按合同规定保质保量完成物业服务及管理的基础上，每季度最后一个月25日前，乙方向甲方提供结算报表和增值税专用发票，经甲方相关部门审核后办理支付手续，支付方式为银行转账。</w:t>
      </w:r>
    </w:p>
    <w:p>
      <w:pPr>
        <w:pStyle w:val="14"/>
        <w:tabs>
          <w:tab w:val="left" w:pos="0"/>
        </w:tabs>
        <w:spacing w:before="0"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四、甲方一般纳税人增值税专票信息:</w:t>
      </w:r>
    </w:p>
    <w:p>
      <w:pPr>
        <w:pStyle w:val="14"/>
        <w:tabs>
          <w:tab w:val="left" w:pos="0"/>
        </w:tabs>
        <w:spacing w:before="0" w:after="0" w:line="360" w:lineRule="auto"/>
        <w:ind w:firstLine="480" w:firstLineChars="200"/>
        <w:jc w:val="both"/>
        <w:rPr>
          <w:rFonts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四川省能投攀枝花水电开发有限公司</w:t>
      </w:r>
    </w:p>
    <w:p>
      <w:pPr>
        <w:pStyle w:val="14"/>
        <w:tabs>
          <w:tab w:val="left" w:pos="0"/>
        </w:tabs>
        <w:spacing w:before="0"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纳税人识别号（统一社会信用代码）：</w:t>
      </w:r>
      <w:r>
        <w:rPr>
          <w:rFonts w:hint="eastAsia" w:ascii="宋体" w:hAnsi="宋体" w:eastAsia="宋体" w:cs="宋体"/>
          <w:sz w:val="24"/>
          <w:szCs w:val="24"/>
          <w:u w:val="single"/>
        </w:rPr>
        <w:t>91510403590460698H</w:t>
      </w:r>
      <w:r>
        <w:rPr>
          <w:rFonts w:hint="eastAsia" w:ascii="宋体" w:hAnsi="宋体" w:eastAsia="宋体" w:cs="宋体"/>
          <w:sz w:val="24"/>
          <w:szCs w:val="24"/>
        </w:rPr>
        <w:t xml:space="preserve"> </w:t>
      </w:r>
    </w:p>
    <w:p>
      <w:pPr>
        <w:pStyle w:val="14"/>
        <w:tabs>
          <w:tab w:val="left" w:pos="0"/>
        </w:tabs>
        <w:spacing w:before="0" w:after="0" w:line="360" w:lineRule="auto"/>
        <w:ind w:firstLine="480" w:firstLineChars="200"/>
        <w:jc w:val="both"/>
        <w:rPr>
          <w:rFonts w:ascii="宋体" w:hAnsi="宋体" w:eastAsia="宋体" w:cs="宋体"/>
          <w:sz w:val="24"/>
          <w:szCs w:val="24"/>
          <w:u w:val="single"/>
        </w:rPr>
      </w:pPr>
      <w:r>
        <w:rPr>
          <w:rFonts w:hint="eastAsia" w:ascii="宋体" w:hAnsi="宋体" w:eastAsia="宋体" w:cs="宋体"/>
          <w:sz w:val="24"/>
          <w:szCs w:val="24"/>
        </w:rPr>
        <w:t>单位地址：</w:t>
      </w:r>
      <w:r>
        <w:rPr>
          <w:rFonts w:hint="eastAsia" w:ascii="宋体" w:hAnsi="宋体" w:eastAsia="宋体" w:cs="宋体"/>
          <w:sz w:val="24"/>
          <w:szCs w:val="24"/>
          <w:u w:val="single"/>
        </w:rPr>
        <w:t>四川省攀枝花市西区建福巷88号</w:t>
      </w:r>
      <w:r>
        <w:rPr>
          <w:rFonts w:hint="eastAsia" w:ascii="宋体" w:hAnsi="宋体" w:eastAsia="宋体" w:cs="宋体"/>
          <w:sz w:val="24"/>
          <w:szCs w:val="24"/>
        </w:rPr>
        <w:t xml:space="preserve">   电话：</w:t>
      </w:r>
      <w:r>
        <w:rPr>
          <w:rFonts w:hint="eastAsia" w:ascii="宋体" w:hAnsi="宋体" w:eastAsia="宋体" w:cs="宋体"/>
          <w:sz w:val="24"/>
          <w:szCs w:val="24"/>
          <w:u w:val="single"/>
        </w:rPr>
        <w:t>0812-3151250</w:t>
      </w:r>
    </w:p>
    <w:p>
      <w:pPr>
        <w:pStyle w:val="14"/>
        <w:tabs>
          <w:tab w:val="left" w:pos="0"/>
        </w:tabs>
        <w:spacing w:before="0" w:after="0" w:line="360" w:lineRule="auto"/>
        <w:ind w:firstLine="480" w:firstLineChars="200"/>
        <w:jc w:val="both"/>
        <w:rPr>
          <w:rFonts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中国建设银行攀枝花西区支行</w:t>
      </w:r>
      <w:r>
        <w:rPr>
          <w:rFonts w:hint="eastAsia" w:ascii="宋体" w:hAnsi="宋体" w:eastAsia="宋体" w:cs="宋体"/>
          <w:sz w:val="24"/>
          <w:szCs w:val="24"/>
        </w:rPr>
        <w:tab/>
      </w:r>
      <w:r>
        <w:rPr>
          <w:rFonts w:hint="eastAsia" w:ascii="宋体" w:hAnsi="宋体" w:eastAsia="宋体" w:cs="宋体"/>
          <w:sz w:val="24"/>
          <w:szCs w:val="24"/>
        </w:rPr>
        <w:t xml:space="preserve"> 账号：</w:t>
      </w:r>
      <w:r>
        <w:rPr>
          <w:rFonts w:hint="eastAsia" w:ascii="宋体" w:hAnsi="宋体" w:eastAsia="宋体" w:cs="宋体"/>
          <w:sz w:val="24"/>
          <w:szCs w:val="24"/>
          <w:u w:val="single"/>
        </w:rPr>
        <w:t>51001627438059555666</w:t>
      </w:r>
    </w:p>
    <w:p>
      <w:pPr>
        <w:tabs>
          <w:tab w:val="left" w:pos="1080"/>
        </w:tabs>
        <w:spacing w:line="360" w:lineRule="auto"/>
        <w:jc w:val="left"/>
        <w:rPr>
          <w:rFonts w:ascii="宋体" w:hAnsi="宋体" w:cs="宋体"/>
          <w:color w:val="000000"/>
          <w:sz w:val="24"/>
          <w:szCs w:val="24"/>
        </w:rPr>
      </w:pPr>
      <w:r>
        <w:rPr>
          <w:rFonts w:hint="eastAsia" w:ascii="宋体" w:hAnsi="宋体" w:cs="宋体"/>
          <w:b/>
          <w:color w:val="000000"/>
          <w:sz w:val="24"/>
          <w:szCs w:val="24"/>
        </w:rPr>
        <w:t xml:space="preserve">    第五条 双方权利与义务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一、甲方的权利和义务：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1．授权乙方对金沙电厂指定区域行使管理权。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2．审定乙方拟定的物业管理制度及人员配置方案，要求乙方改进工作方法、提高工作质量。</w:t>
      </w:r>
    </w:p>
    <w:p>
      <w:pPr>
        <w:spacing w:line="360" w:lineRule="auto"/>
        <w:ind w:firstLine="480" w:firstLineChars="200"/>
        <w:rPr>
          <w:rFonts w:ascii="宋体" w:hAnsi="宋体" w:cs="宋体"/>
          <w:sz w:val="24"/>
          <w:szCs w:val="24"/>
        </w:rPr>
      </w:pPr>
      <w:r>
        <w:rPr>
          <w:rFonts w:hint="eastAsia" w:ascii="宋体" w:hAnsi="宋体" w:cs="宋体"/>
          <w:sz w:val="24"/>
          <w:szCs w:val="24"/>
        </w:rPr>
        <w:t>3．负责监督及检查乙方相关工作执行情况，并根据相关服务标准对乙方进行考核,考核细则双方另行协商制定。</w:t>
      </w:r>
    </w:p>
    <w:p>
      <w:pPr>
        <w:tabs>
          <w:tab w:val="left" w:pos="1080"/>
        </w:tabs>
        <w:spacing w:line="360" w:lineRule="auto"/>
        <w:ind w:left="560"/>
        <w:rPr>
          <w:rFonts w:ascii="宋体" w:hAnsi="宋体" w:cs="宋体"/>
          <w:color w:val="000000"/>
          <w:sz w:val="24"/>
          <w:szCs w:val="24"/>
        </w:rPr>
      </w:pPr>
      <w:r>
        <w:rPr>
          <w:rFonts w:hint="eastAsia" w:ascii="宋体" w:hAnsi="宋体" w:cs="宋体"/>
          <w:color w:val="000000"/>
          <w:sz w:val="24"/>
          <w:szCs w:val="24"/>
        </w:rPr>
        <w:t>4．提供物业管理所需图纸资料。</w:t>
      </w:r>
    </w:p>
    <w:p>
      <w:pPr>
        <w:tabs>
          <w:tab w:val="left" w:pos="1080"/>
        </w:tabs>
        <w:spacing w:line="360" w:lineRule="auto"/>
        <w:ind w:left="560"/>
        <w:rPr>
          <w:rFonts w:ascii="宋体" w:hAnsi="宋体" w:cs="宋体"/>
          <w:color w:val="000000"/>
          <w:sz w:val="24"/>
          <w:szCs w:val="24"/>
        </w:rPr>
      </w:pPr>
      <w:r>
        <w:rPr>
          <w:rFonts w:hint="eastAsia" w:ascii="宋体" w:hAnsi="宋体" w:cs="宋体"/>
          <w:color w:val="000000"/>
          <w:sz w:val="24"/>
          <w:szCs w:val="24"/>
        </w:rPr>
        <w:t>5．按时结算并支付合同费用。</w:t>
      </w:r>
    </w:p>
    <w:p>
      <w:pPr>
        <w:tabs>
          <w:tab w:val="left" w:pos="180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二、乙方权利和义务：</w:t>
      </w:r>
    </w:p>
    <w:p>
      <w:pPr>
        <w:tabs>
          <w:tab w:val="left" w:pos="108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1．依据合同和《金沙水力发电厂物业管理服务标准》按时、保质、保量地进行物业服务和管理工作。</w:t>
      </w:r>
    </w:p>
    <w:p>
      <w:pPr>
        <w:tabs>
          <w:tab w:val="left" w:pos="108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2．根据有关法律法规及本合同要求制订相关管理制度，并根据甲方授权行使管理权。</w:t>
      </w:r>
    </w:p>
    <w:p>
      <w:pPr>
        <w:tabs>
          <w:tab w:val="left" w:pos="108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乙方人员应遵守甲方的各项规章制度，服从甲方对其职责内工作的智慧，不得影响甲方的正常工作。</w:t>
      </w:r>
      <w:r>
        <w:rPr>
          <w:rFonts w:hint="eastAsia" w:ascii="宋体" w:hAnsi="宋体" w:cs="宋体"/>
          <w:color w:val="000000"/>
          <w:sz w:val="24"/>
          <w:szCs w:val="24"/>
        </w:rPr>
        <w:t>对物业使用人违反法规及相关管理制度的行为，有权进行批评、规劝、警告。</w:t>
      </w:r>
    </w:p>
    <w:p>
      <w:pPr>
        <w:tabs>
          <w:tab w:val="left" w:pos="1080"/>
        </w:tabs>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4．对物业从业人员进行相关岗位培训，规范服务行为，确保服务品质。</w:t>
      </w:r>
    </w:p>
    <w:p>
      <w:pPr>
        <w:spacing w:line="360" w:lineRule="auto"/>
        <w:ind w:firstLine="482" w:firstLineChars="200"/>
        <w:rPr>
          <w:rFonts w:hint="eastAsia" w:ascii="宋体" w:hAnsi="宋体" w:eastAsia="宋体" w:cs="宋体"/>
          <w:b/>
          <w:color w:val="000000"/>
          <w:sz w:val="24"/>
          <w:szCs w:val="24"/>
          <w:lang w:eastAsia="zh-CN"/>
        </w:rPr>
      </w:pPr>
      <w:r>
        <w:rPr>
          <w:rFonts w:hint="eastAsia" w:ascii="宋体" w:hAnsi="宋体" w:cs="宋体"/>
          <w:b/>
          <w:color w:val="000000"/>
          <w:sz w:val="24"/>
          <w:szCs w:val="24"/>
        </w:rPr>
        <w:t xml:space="preserve">第六条  </w:t>
      </w:r>
      <w:r>
        <w:rPr>
          <w:rFonts w:hint="eastAsia" w:ascii="宋体" w:hAnsi="宋体" w:cs="宋体"/>
          <w:b/>
          <w:color w:val="000000"/>
          <w:sz w:val="24"/>
          <w:szCs w:val="24"/>
          <w:lang w:eastAsia="zh-CN"/>
        </w:rPr>
        <w:t>合同解除</w:t>
      </w:r>
    </w:p>
    <w:p>
      <w:pPr>
        <w:spacing w:line="360" w:lineRule="auto"/>
        <w:ind w:firstLine="480" w:firstLineChars="200"/>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1.发生下列情形之一的，双方可协商变更或解除合同。</w:t>
      </w:r>
    </w:p>
    <w:p>
      <w:pPr>
        <w:spacing w:line="360" w:lineRule="auto"/>
        <w:ind w:firstLine="480" w:firstLineChars="200"/>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（1）由于不可抗力导致合同全部或部分无法履行的。</w:t>
      </w:r>
    </w:p>
    <w:p>
      <w:pPr>
        <w:spacing w:line="360" w:lineRule="auto"/>
        <w:ind w:firstLine="480" w:firstLineChars="200"/>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（2）甲方将本合同项下房屋全部或部分转让的，本合同应相应解除或变更，且甲方不承担责任。</w:t>
      </w:r>
    </w:p>
    <w:p>
      <w:pPr>
        <w:spacing w:line="360" w:lineRule="auto"/>
        <w:ind w:firstLine="480" w:firstLineChars="200"/>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2.在合同履行过程中，发生以下情形之一的，甲方有权解除合同：</w:t>
      </w:r>
    </w:p>
    <w:p>
      <w:pPr>
        <w:spacing w:line="360" w:lineRule="auto"/>
        <w:ind w:firstLine="480" w:firstLineChars="200"/>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（1）乙方严重失职造成甲方的重大损失时；</w:t>
      </w:r>
    </w:p>
    <w:p>
      <w:pPr>
        <w:spacing w:line="360" w:lineRule="auto"/>
        <w:ind w:firstLine="480" w:firstLineChars="200"/>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（2）乙方发生严重违约后，在收到甲方书面通知一个月内仍不能采取补救措施及行动时；</w:t>
      </w:r>
    </w:p>
    <w:p>
      <w:pPr>
        <w:spacing w:line="360" w:lineRule="auto"/>
        <w:ind w:firstLine="480" w:firstLineChars="200"/>
        <w:rPr>
          <w:rFonts w:hint="default"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（3）乙方未经甲方同意擅自转让本服务项目部分或全部给第三方时；</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cs="宋体"/>
          <w:b w:val="0"/>
          <w:bCs/>
          <w:color w:val="000000"/>
          <w:sz w:val="24"/>
          <w:szCs w:val="24"/>
          <w:lang w:eastAsia="zh-CN"/>
        </w:rPr>
        <w:t>（</w:t>
      </w:r>
      <w:r>
        <w:rPr>
          <w:rFonts w:hint="eastAsia" w:ascii="宋体" w:hAnsi="宋体" w:cs="宋体"/>
          <w:b w:val="0"/>
          <w:bCs/>
          <w:color w:val="000000"/>
          <w:sz w:val="24"/>
          <w:szCs w:val="24"/>
          <w:lang w:val="en-US" w:eastAsia="zh-CN"/>
        </w:rPr>
        <w:t>4</w:t>
      </w:r>
      <w:r>
        <w:rPr>
          <w:rFonts w:hint="eastAsia" w:ascii="宋体" w:hAnsi="宋体" w:cs="宋体"/>
          <w:b w:val="0"/>
          <w:bCs/>
          <w:color w:val="000000"/>
          <w:sz w:val="24"/>
          <w:szCs w:val="24"/>
          <w:lang w:eastAsia="zh-CN"/>
        </w:rPr>
        <w:t>）根据法律规定或本合同约定的甲方有权解除合同的其他情形。</w:t>
      </w: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第</w:t>
      </w:r>
      <w:r>
        <w:rPr>
          <w:rFonts w:hint="eastAsia" w:ascii="宋体" w:hAnsi="宋体" w:cs="宋体"/>
          <w:b/>
          <w:color w:val="000000"/>
          <w:sz w:val="24"/>
          <w:szCs w:val="24"/>
          <w:lang w:eastAsia="zh-CN"/>
        </w:rPr>
        <w:t>七</w:t>
      </w:r>
      <w:r>
        <w:rPr>
          <w:rFonts w:hint="eastAsia" w:ascii="宋体" w:hAnsi="宋体" w:cs="宋体"/>
          <w:b/>
          <w:color w:val="000000"/>
          <w:sz w:val="24"/>
          <w:szCs w:val="24"/>
        </w:rPr>
        <w:t>条  违约责任</w:t>
      </w:r>
    </w:p>
    <w:p>
      <w:pPr>
        <w:tabs>
          <w:tab w:val="left" w:pos="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一、如因甲方违反合约，致使乙方未能完成合同约定的服务目标，乙方有权要求甲方在一定期限内解决，逾期未解决的，乙方有权终止合同。造成乙方经济损失的，甲方应给予相应的经济补偿。</w:t>
      </w:r>
    </w:p>
    <w:p>
      <w:pPr>
        <w:tabs>
          <w:tab w:val="left" w:pos="0"/>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二、如乙方违反本合约，未能达到规定的服务目标，甲方有权要求乙方限期整改，逾期未改的，甲方有权终止本合同。造成甲方经济损失的，乙方应给予甲方相应的经济补偿。</w:t>
      </w:r>
    </w:p>
    <w:p>
      <w:pPr>
        <w:tabs>
          <w:tab w:val="left" w:pos="0"/>
        </w:tabs>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三、合同期内，因乙方提供物业服务瑕疵，或管理不善，或乙方工作人员失误，造成甲方设备、设施毁损的，乙方应无条件更换、维修，并按照当年度物业服务费的</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%向加分那个支付违约金，并赔偿甲方因此遭受的全部损失。本条款中的乙方，包括</w:t>
      </w:r>
      <w:r>
        <w:rPr>
          <w:rFonts w:hint="eastAsia" w:ascii="宋体" w:hAnsi="宋体" w:cs="宋体"/>
          <w:color w:val="000000"/>
          <w:sz w:val="24"/>
          <w:szCs w:val="24"/>
          <w:lang w:eastAsia="zh-CN"/>
        </w:rPr>
        <w:t>乙方下属第三方外包单位。</w:t>
      </w:r>
    </w:p>
    <w:p>
      <w:pPr>
        <w:tabs>
          <w:tab w:val="left" w:pos="0"/>
        </w:tabs>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eastAsia="zh-CN"/>
        </w:rPr>
        <w:t>因乙方履行义务不符合合同约定，或因乙方提供物业服务瑕疵，或管理不善，造成甲方人员或第三方人身、财产损害的，乙方应承担全部法律责任，并应按照当年度物业服务费的</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%向甲方支付违约金，并赔偿甲方所遭受的全部损失。若甲方需先行向甲方人员或第三人承担赔偿责任的，甲方承担责任后有权向乙方追索。</w:t>
      </w:r>
    </w:p>
    <w:p>
      <w:pPr>
        <w:tabs>
          <w:tab w:val="left" w:pos="0"/>
        </w:tabs>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四、乙方按合同约定应支付的违约金低于给甲方造成的损失的，应就差额部分向甲方进行赔偿，且乙方承担的赔偿金额不以乙方应得物业服务费为限。乙方违约除应承担相应违约责任外，甲方向乙方主张权利所产生的费用（包括律师费）亦由乙方承担。</w:t>
      </w:r>
    </w:p>
    <w:p>
      <w:pPr>
        <w:spacing w:line="360" w:lineRule="auto"/>
        <w:ind w:firstLine="482" w:firstLineChars="200"/>
        <w:rPr>
          <w:rFonts w:hint="eastAsia" w:ascii="宋体" w:hAnsi="宋体" w:eastAsia="宋体" w:cs="宋体"/>
          <w:b/>
          <w:color w:val="000000"/>
          <w:sz w:val="24"/>
          <w:szCs w:val="24"/>
          <w:lang w:eastAsia="zh-CN"/>
        </w:rPr>
      </w:pPr>
      <w:r>
        <w:rPr>
          <w:rFonts w:hint="eastAsia" w:ascii="宋体" w:hAnsi="宋体" w:cs="宋体"/>
          <w:b/>
          <w:color w:val="000000"/>
          <w:sz w:val="24"/>
          <w:szCs w:val="24"/>
        </w:rPr>
        <w:t>第</w:t>
      </w:r>
      <w:r>
        <w:rPr>
          <w:rFonts w:hint="eastAsia" w:ascii="宋体" w:hAnsi="宋体" w:cs="宋体"/>
          <w:b/>
          <w:color w:val="000000"/>
          <w:sz w:val="24"/>
          <w:szCs w:val="24"/>
          <w:lang w:eastAsia="zh-CN"/>
        </w:rPr>
        <w:t>八</w:t>
      </w:r>
      <w:r>
        <w:rPr>
          <w:rFonts w:hint="eastAsia" w:ascii="宋体" w:hAnsi="宋体" w:cs="宋体"/>
          <w:b/>
          <w:color w:val="000000"/>
          <w:sz w:val="24"/>
          <w:szCs w:val="24"/>
        </w:rPr>
        <w:t xml:space="preserve">条  </w:t>
      </w:r>
      <w:r>
        <w:rPr>
          <w:rFonts w:hint="eastAsia" w:ascii="宋体" w:hAnsi="宋体" w:cs="宋体"/>
          <w:b/>
          <w:color w:val="000000"/>
          <w:sz w:val="24"/>
          <w:szCs w:val="24"/>
          <w:lang w:eastAsia="zh-CN"/>
        </w:rPr>
        <w:t>不可抗力</w:t>
      </w:r>
    </w:p>
    <w:p>
      <w:pPr>
        <w:spacing w:line="360" w:lineRule="auto"/>
        <w:ind w:firstLine="480" w:firstLineChars="200"/>
        <w:rPr>
          <w:rFonts w:hint="eastAsia" w:ascii="宋体" w:hAnsi="宋体" w:cs="宋体"/>
          <w:b w:val="0"/>
          <w:bCs/>
          <w:color w:val="000000"/>
          <w:sz w:val="24"/>
          <w:szCs w:val="24"/>
          <w:lang w:eastAsia="zh-CN"/>
        </w:rPr>
      </w:pPr>
      <w:r>
        <w:rPr>
          <w:rFonts w:hint="eastAsia" w:ascii="宋体" w:hAnsi="宋体" w:cs="宋体"/>
          <w:b w:val="0"/>
          <w:bCs/>
          <w:color w:val="000000"/>
          <w:sz w:val="24"/>
          <w:szCs w:val="24"/>
          <w:lang w:eastAsia="zh-CN"/>
        </w:rPr>
        <w:t>一、本合同中不可抗力是指不能预见、不能避免并不能克服的客观情况，包括但不限于自然灾害、战争、武装冲突、社会动乱、暴乱等事件。</w:t>
      </w:r>
    </w:p>
    <w:p>
      <w:pPr>
        <w:spacing w:line="360" w:lineRule="auto"/>
        <w:ind w:firstLine="480" w:firstLineChars="200"/>
        <w:rPr>
          <w:rFonts w:hint="eastAsia" w:ascii="宋体" w:hAnsi="宋体" w:cs="宋体"/>
          <w:b w:val="0"/>
          <w:bCs/>
          <w:color w:val="000000"/>
          <w:sz w:val="24"/>
          <w:szCs w:val="24"/>
          <w:lang w:eastAsia="zh-CN"/>
        </w:rPr>
      </w:pPr>
      <w:r>
        <w:rPr>
          <w:rFonts w:hint="eastAsia" w:ascii="宋体" w:hAnsi="宋体" w:cs="宋体"/>
          <w:b w:val="0"/>
          <w:bCs/>
          <w:color w:val="000000"/>
          <w:sz w:val="24"/>
          <w:szCs w:val="24"/>
          <w:lang w:eastAsia="zh-CN"/>
        </w:rPr>
        <w:t>二、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w:t>
      </w:r>
    </w:p>
    <w:p>
      <w:pPr>
        <w:spacing w:line="360" w:lineRule="auto"/>
        <w:ind w:firstLine="482" w:firstLineChars="200"/>
        <w:rPr>
          <w:rFonts w:hint="eastAsia" w:ascii="宋体" w:hAnsi="宋体" w:cs="宋体"/>
          <w:b/>
          <w:color w:val="000000"/>
          <w:sz w:val="24"/>
          <w:szCs w:val="24"/>
          <w:lang w:eastAsia="zh-CN"/>
        </w:rPr>
      </w:pPr>
      <w:r>
        <w:rPr>
          <w:rFonts w:hint="eastAsia" w:ascii="宋体" w:hAnsi="宋体" w:cs="宋体"/>
          <w:b/>
          <w:color w:val="000000"/>
          <w:sz w:val="24"/>
          <w:szCs w:val="24"/>
        </w:rPr>
        <w:t>第</w:t>
      </w:r>
      <w:r>
        <w:rPr>
          <w:rFonts w:hint="eastAsia" w:ascii="宋体" w:hAnsi="宋体" w:cs="宋体"/>
          <w:b/>
          <w:color w:val="000000"/>
          <w:sz w:val="24"/>
          <w:szCs w:val="24"/>
          <w:lang w:eastAsia="zh-CN"/>
        </w:rPr>
        <w:t>九</w:t>
      </w:r>
      <w:r>
        <w:rPr>
          <w:rFonts w:hint="eastAsia" w:ascii="宋体" w:hAnsi="宋体" w:cs="宋体"/>
          <w:b/>
          <w:color w:val="000000"/>
          <w:sz w:val="24"/>
          <w:szCs w:val="24"/>
        </w:rPr>
        <w:t>条  附则</w:t>
      </w:r>
      <w:r>
        <w:rPr>
          <w:rFonts w:hint="eastAsia" w:ascii="宋体" w:hAnsi="宋体" w:cs="宋体"/>
          <w:b/>
          <w:color w:val="000000"/>
          <w:sz w:val="24"/>
          <w:szCs w:val="24"/>
          <w:lang w:eastAsia="zh-CN"/>
        </w:rPr>
        <w:t>及其他</w:t>
      </w:r>
    </w:p>
    <w:p>
      <w:pPr>
        <w:pStyle w:val="28"/>
        <w:ind w:firstLine="482" w:firstLineChars="200"/>
        <w:rPr>
          <w:rFonts w:hint="eastAsia" w:ascii="宋体" w:hAnsi="宋体" w:cs="宋体"/>
          <w:b/>
          <w:bCs/>
          <w:color w:val="000000"/>
          <w:szCs w:val="24"/>
          <w:highlight w:val="none"/>
          <w:lang w:val="en-US" w:eastAsia="zh-CN"/>
        </w:rPr>
      </w:pPr>
      <w:r>
        <w:rPr>
          <w:rFonts w:hint="eastAsia" w:ascii="宋体" w:hAnsi="宋体" w:cs="宋体"/>
          <w:b/>
          <w:bCs/>
          <w:color w:val="000000"/>
          <w:sz w:val="24"/>
          <w:szCs w:val="24"/>
        </w:rPr>
        <w:t>一、</w:t>
      </w:r>
      <w:r>
        <w:rPr>
          <w:rFonts w:hint="eastAsia" w:ascii="宋体" w:hAnsi="宋体" w:cs="宋体"/>
          <w:b/>
          <w:bCs/>
          <w:color w:val="000000"/>
          <w:szCs w:val="24"/>
          <w:highlight w:val="none"/>
          <w:lang w:val="en-US" w:eastAsia="zh-CN"/>
        </w:rPr>
        <w:t>乙方声明：</w:t>
      </w:r>
    </w:p>
    <w:p>
      <w:pPr>
        <w:pStyle w:val="28"/>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乙方</w:t>
      </w:r>
      <w:r>
        <w:rPr>
          <w:rFonts w:hint="eastAsia" w:ascii="宋体" w:hAnsi="宋体" w:cs="宋体"/>
          <w:color w:val="000000"/>
          <w:szCs w:val="24"/>
          <w:highlight w:val="none"/>
          <w:lang w:val="en-US" w:eastAsia="zh-CN"/>
        </w:rPr>
        <w:t>按照本合同约定，指派到甲方所在地履行乙方义务的人员</w:t>
      </w:r>
      <w:r>
        <w:rPr>
          <w:rFonts w:hint="eastAsia" w:ascii="宋体" w:hAnsi="宋体" w:cs="宋体"/>
          <w:color w:val="000000"/>
          <w:szCs w:val="24"/>
          <w:highlight w:val="none"/>
        </w:rPr>
        <w:t>与甲方不存在劳动关系、劳务关系、雇佣关系、劳务派遣关系或类似关系，乙方应与</w:t>
      </w:r>
      <w:r>
        <w:rPr>
          <w:rFonts w:hint="eastAsia" w:ascii="宋体" w:hAnsi="宋体" w:cs="宋体"/>
          <w:color w:val="000000"/>
          <w:szCs w:val="24"/>
          <w:highlight w:val="none"/>
          <w:lang w:val="en-US" w:eastAsia="zh-CN"/>
        </w:rPr>
        <w:t>该指派员工</w:t>
      </w:r>
      <w:r>
        <w:rPr>
          <w:rFonts w:hint="eastAsia" w:ascii="宋体" w:hAnsi="宋体" w:cs="宋体"/>
          <w:color w:val="000000"/>
          <w:szCs w:val="24"/>
          <w:highlight w:val="none"/>
        </w:rPr>
        <w:t>签订劳动合同，告知工作人员以上内容，并自行处理好</w:t>
      </w:r>
      <w:r>
        <w:rPr>
          <w:rFonts w:hint="eastAsia" w:ascii="宋体" w:hAnsi="宋体" w:cs="宋体"/>
          <w:color w:val="000000"/>
          <w:szCs w:val="24"/>
          <w:highlight w:val="none"/>
          <w:lang w:val="en-US" w:eastAsia="zh-CN"/>
        </w:rPr>
        <w:t>工作</w:t>
      </w:r>
      <w:r>
        <w:rPr>
          <w:rFonts w:hint="eastAsia" w:ascii="宋体" w:hAnsi="宋体" w:cs="宋体"/>
          <w:color w:val="000000"/>
          <w:szCs w:val="24"/>
          <w:highlight w:val="none"/>
        </w:rPr>
        <w:t>人员之间的劳动关系，及时足额发放劳动报酬（包括加班费），缴纳社会保险。乙方与</w:t>
      </w:r>
      <w:r>
        <w:rPr>
          <w:rFonts w:hint="eastAsia" w:ascii="宋体" w:hAnsi="宋体" w:cs="宋体"/>
          <w:color w:val="000000"/>
          <w:szCs w:val="24"/>
          <w:highlight w:val="none"/>
          <w:lang w:val="en-US" w:eastAsia="zh-CN"/>
        </w:rPr>
        <w:t>工作</w:t>
      </w:r>
      <w:r>
        <w:rPr>
          <w:rFonts w:hint="eastAsia" w:ascii="宋体" w:hAnsi="宋体" w:cs="宋体"/>
          <w:color w:val="000000"/>
          <w:szCs w:val="24"/>
          <w:highlight w:val="none"/>
        </w:rPr>
        <w:t>人员之间的一切纠纷与甲方无关。</w:t>
      </w:r>
    </w:p>
    <w:p>
      <w:pPr>
        <w:pStyle w:val="28"/>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如乙方工作人员向甲方索赔的，</w:t>
      </w:r>
      <w:r>
        <w:rPr>
          <w:rFonts w:hint="eastAsia" w:ascii="宋体" w:hAnsi="宋体" w:cs="宋体"/>
          <w:color w:val="000000"/>
          <w:szCs w:val="24"/>
          <w:highlight w:val="none"/>
          <w:lang w:eastAsia="zh-CN"/>
        </w:rPr>
        <w:t>给甲方造成的一切损失，</w:t>
      </w:r>
      <w:r>
        <w:rPr>
          <w:rFonts w:hint="eastAsia" w:ascii="宋体" w:hAnsi="宋体" w:cs="宋体"/>
          <w:color w:val="000000"/>
          <w:szCs w:val="24"/>
          <w:highlight w:val="none"/>
        </w:rPr>
        <w:t>甲方有权向乙方追偿。</w:t>
      </w:r>
    </w:p>
    <w:p>
      <w:pPr>
        <w:pStyle w:val="28"/>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乙方对乙方</w:t>
      </w:r>
      <w:r>
        <w:rPr>
          <w:rFonts w:hint="eastAsia" w:ascii="宋体" w:hAnsi="宋体" w:cs="宋体"/>
          <w:color w:val="000000"/>
          <w:szCs w:val="24"/>
          <w:highlight w:val="none"/>
          <w:lang w:val="en-US" w:eastAsia="zh-CN"/>
        </w:rPr>
        <w:t>指派</w:t>
      </w:r>
      <w:r>
        <w:rPr>
          <w:rFonts w:hint="eastAsia" w:ascii="宋体" w:hAnsi="宋体" w:cs="宋体"/>
          <w:color w:val="000000"/>
          <w:szCs w:val="24"/>
          <w:highlight w:val="none"/>
        </w:rPr>
        <w:t>工作人员履行本合同项下义务过程中的安全负责。如乙方工作人员发生工伤事故，或乙方工作人员造成他人人身或车辆、物品损害，乙方承诺予以赔偿，并承担全部责任和费用，与甲方无关。乙方工作人员所有人身伤亡、罚款、索赔、损失赔偿、诉讼费用及其他一切责任均应由乙方负责承担。</w:t>
      </w:r>
    </w:p>
    <w:p>
      <w:pPr>
        <w:pStyle w:val="28"/>
        <w:ind w:firstLine="480" w:firstLineChars="200"/>
        <w:rPr>
          <w:rFonts w:hint="eastAsia" w:ascii="宋体" w:hAnsi="宋体" w:cs="宋体"/>
          <w:color w:val="000000"/>
          <w:sz w:val="24"/>
          <w:szCs w:val="24"/>
        </w:rPr>
      </w:pPr>
      <w:r>
        <w:rPr>
          <w:rFonts w:hint="eastAsia" w:ascii="宋体" w:hAnsi="宋体" w:cs="宋体"/>
          <w:color w:val="000000"/>
          <w:szCs w:val="24"/>
          <w:highlight w:val="none"/>
        </w:rPr>
        <w:t>乙方工作人员造成甲方员工人身或财产损失的，应赔偿甲方及甲方员工的损失，包括但不限于甲方因此向员工支付的工伤保险待遇等。</w:t>
      </w:r>
    </w:p>
    <w:p>
      <w:pPr>
        <w:tabs>
          <w:tab w:val="left" w:pos="0"/>
          <w:tab w:val="left" w:pos="1620"/>
        </w:tabs>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二、</w:t>
      </w:r>
      <w:r>
        <w:rPr>
          <w:rFonts w:hint="eastAsia" w:ascii="宋体" w:hAnsi="宋体" w:cs="宋体"/>
          <w:color w:val="000000"/>
          <w:sz w:val="24"/>
          <w:szCs w:val="24"/>
          <w:lang w:eastAsia="zh-CN"/>
        </w:rPr>
        <w:t>因合同及合同有关事项发生的争议，双方应本着诚实信用原则，通过友好协商解决。经协商仍无法达成一致的，应向甲方所在地人民法院提起诉讼。</w:t>
      </w:r>
    </w:p>
    <w:p>
      <w:pPr>
        <w:tabs>
          <w:tab w:val="left" w:pos="0"/>
          <w:tab w:val="left" w:pos="1620"/>
        </w:tabs>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在争议期期间，合同中未涉及争议部分的条款仍需履行。</w:t>
      </w:r>
    </w:p>
    <w:p>
      <w:pPr>
        <w:tabs>
          <w:tab w:val="left" w:pos="0"/>
          <w:tab w:val="left" w:pos="1620"/>
        </w:tabs>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eastAsia="zh-CN"/>
        </w:rPr>
        <w:t>三</w:t>
      </w:r>
      <w:r>
        <w:rPr>
          <w:rFonts w:hint="eastAsia" w:ascii="宋体" w:hAnsi="宋体" w:cs="宋体"/>
          <w:color w:val="000000"/>
          <w:sz w:val="24"/>
          <w:szCs w:val="24"/>
        </w:rPr>
        <w:t>、</w:t>
      </w:r>
      <w:r>
        <w:rPr>
          <w:rFonts w:hint="eastAsia" w:ascii="宋体" w:hAnsi="宋体" w:cs="宋体"/>
          <w:color w:val="000000"/>
          <w:sz w:val="24"/>
          <w:szCs w:val="24"/>
          <w:lang w:val="en-US" w:eastAsia="zh-CN"/>
        </w:rPr>
        <w:t>遇甲方防洪抢险等紧急动员，一方服务人员有义务应甲方召唤执行分派义务。</w:t>
      </w:r>
    </w:p>
    <w:p>
      <w:pPr>
        <w:tabs>
          <w:tab w:val="left" w:pos="0"/>
          <w:tab w:val="left" w:pos="162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eastAsia="zh-CN"/>
        </w:rPr>
        <w:t>四</w:t>
      </w:r>
      <w:r>
        <w:rPr>
          <w:rFonts w:hint="eastAsia" w:ascii="宋体" w:hAnsi="宋体" w:cs="宋体"/>
          <w:color w:val="000000"/>
          <w:sz w:val="24"/>
          <w:szCs w:val="24"/>
        </w:rPr>
        <w:t>、本合同未尽事项，由双方协商解决。双方可对本合同的条款进行补充，以书面形式签订补充协议，补充协议与本合同具有同等效力。</w:t>
      </w:r>
    </w:p>
    <w:p>
      <w:pPr>
        <w:pStyle w:val="15"/>
        <w:tabs>
          <w:tab w:val="left" w:pos="1620"/>
          <w:tab w:val="left" w:pos="1980"/>
        </w:tabs>
        <w:spacing w:line="360" w:lineRule="auto"/>
        <w:ind w:firstLine="482" w:firstLineChars="200"/>
        <w:rPr>
          <w:rFonts w:ascii="宋体" w:hAnsi="宋体" w:cs="宋体"/>
          <w:color w:val="000000"/>
          <w:sz w:val="24"/>
          <w:szCs w:val="24"/>
        </w:rPr>
      </w:pPr>
      <w:r>
        <w:rPr>
          <w:rFonts w:hint="eastAsia" w:ascii="宋体" w:hAnsi="宋体" w:cs="宋体"/>
          <w:sz w:val="24"/>
          <w:szCs w:val="24"/>
          <w:lang w:eastAsia="zh-CN"/>
        </w:rPr>
        <w:t>五</w:t>
      </w:r>
      <w:r>
        <w:rPr>
          <w:rFonts w:hint="eastAsia" w:ascii="宋体" w:hAnsi="宋体" w:cs="宋体"/>
          <w:sz w:val="24"/>
          <w:szCs w:val="24"/>
        </w:rPr>
        <w:t>、</w:t>
      </w:r>
      <w:r>
        <w:rPr>
          <w:rFonts w:hint="eastAsia" w:ascii="宋体" w:hAnsi="宋体" w:cs="宋体"/>
          <w:color w:val="000000"/>
          <w:sz w:val="24"/>
          <w:szCs w:val="24"/>
        </w:rPr>
        <w:t>合同附件与本合同具有同等效力。</w:t>
      </w:r>
    </w:p>
    <w:p>
      <w:pPr>
        <w:tabs>
          <w:tab w:val="left" w:pos="2340"/>
          <w:tab w:val="left" w:pos="2520"/>
        </w:tabs>
        <w:spacing w:line="360" w:lineRule="auto"/>
        <w:ind w:firstLine="480" w:firstLineChars="200"/>
        <w:rPr>
          <w:rFonts w:ascii="宋体" w:hAnsi="宋体" w:cs="宋体"/>
          <w:bCs/>
          <w:snapToGrid w:val="0"/>
          <w:sz w:val="24"/>
          <w:szCs w:val="24"/>
        </w:rPr>
      </w:pPr>
      <w:r>
        <w:rPr>
          <w:rFonts w:hint="eastAsia" w:ascii="宋体" w:hAnsi="宋体" w:cs="宋体"/>
          <w:sz w:val="24"/>
          <w:szCs w:val="24"/>
          <w:lang w:eastAsia="zh-CN"/>
        </w:rPr>
        <w:t>六、</w:t>
      </w:r>
      <w:r>
        <w:rPr>
          <w:rFonts w:hint="eastAsia" w:ascii="宋体" w:hAnsi="宋体" w:cs="宋体"/>
          <w:sz w:val="24"/>
          <w:szCs w:val="24"/>
        </w:rPr>
        <w:t>本合同经双方签字</w:t>
      </w:r>
      <w:r>
        <w:rPr>
          <w:rFonts w:hint="eastAsia" w:ascii="宋体" w:hAnsi="宋体" w:cs="宋体"/>
          <w:sz w:val="24"/>
          <w:szCs w:val="24"/>
          <w:lang w:eastAsia="zh-CN"/>
        </w:rPr>
        <w:t>或</w:t>
      </w:r>
      <w:r>
        <w:rPr>
          <w:rFonts w:hint="eastAsia" w:ascii="宋体" w:hAnsi="宋体" w:cs="宋体"/>
          <w:sz w:val="24"/>
          <w:szCs w:val="24"/>
        </w:rPr>
        <w:t>盖章后生效，共同遵守执行。本合同一式</w:t>
      </w:r>
      <w:r>
        <w:rPr>
          <w:rFonts w:hint="eastAsia" w:ascii="宋体" w:hAnsi="宋体" w:cs="宋体"/>
          <w:sz w:val="24"/>
          <w:szCs w:val="24"/>
          <w:u w:val="single"/>
        </w:rPr>
        <w:t>捌</w:t>
      </w:r>
      <w:r>
        <w:rPr>
          <w:rFonts w:hint="eastAsia" w:ascii="宋体" w:hAnsi="宋体" w:cs="宋体"/>
          <w:sz w:val="24"/>
          <w:szCs w:val="24"/>
        </w:rPr>
        <w:t>份，正本</w:t>
      </w:r>
      <w:r>
        <w:rPr>
          <w:rFonts w:hint="eastAsia" w:ascii="宋体" w:hAnsi="宋体" w:cs="宋体"/>
          <w:sz w:val="24"/>
          <w:szCs w:val="24"/>
          <w:u w:val="single"/>
        </w:rPr>
        <w:t>贰</w:t>
      </w:r>
      <w:r>
        <w:rPr>
          <w:rFonts w:hint="eastAsia" w:ascii="宋体" w:hAnsi="宋体" w:cs="宋体"/>
          <w:sz w:val="24"/>
          <w:szCs w:val="24"/>
        </w:rPr>
        <w:t>份，副本</w:t>
      </w:r>
      <w:r>
        <w:rPr>
          <w:rFonts w:hint="eastAsia" w:ascii="宋体" w:hAnsi="宋体" w:cs="宋体"/>
          <w:sz w:val="24"/>
          <w:szCs w:val="24"/>
          <w:u w:val="single"/>
        </w:rPr>
        <w:t>陆</w:t>
      </w:r>
      <w:r>
        <w:rPr>
          <w:rFonts w:hint="eastAsia" w:ascii="宋体" w:hAnsi="宋体" w:cs="宋体"/>
          <w:sz w:val="24"/>
          <w:szCs w:val="24"/>
        </w:rPr>
        <w:t>份，甲方执正本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伍</w:t>
      </w:r>
      <w:r>
        <w:rPr>
          <w:rFonts w:hint="eastAsia" w:ascii="宋体" w:hAnsi="宋体" w:cs="宋体"/>
          <w:sz w:val="24"/>
          <w:szCs w:val="24"/>
        </w:rPr>
        <w:t>份，乙方执正本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壹</w:t>
      </w:r>
      <w:r>
        <w:rPr>
          <w:rFonts w:hint="eastAsia" w:ascii="宋体" w:hAnsi="宋体" w:cs="宋体"/>
          <w:sz w:val="24"/>
          <w:szCs w:val="24"/>
        </w:rPr>
        <w:t>份。</w:t>
      </w:r>
    </w:p>
    <w:p>
      <w:pPr>
        <w:spacing w:before="0" w:after="0" w:line="360" w:lineRule="auto"/>
        <w:ind w:firstLine="482"/>
        <w:rPr>
          <w:rFonts w:ascii="宋体" w:hAnsi="宋体" w:cs="宋体"/>
          <w:bCs/>
          <w:snapToGrid w:val="0"/>
          <w:sz w:val="24"/>
          <w:szCs w:val="24"/>
        </w:rPr>
      </w:pPr>
      <w:r>
        <w:rPr>
          <w:rFonts w:hint="eastAsia" w:ascii="宋体" w:hAnsi="宋体" w:cs="宋体"/>
          <w:bCs/>
          <w:snapToGrid w:val="0"/>
          <w:sz w:val="24"/>
          <w:szCs w:val="24"/>
        </w:rPr>
        <w:t>签署栏</w:t>
      </w:r>
    </w:p>
    <w:tbl>
      <w:tblPr>
        <w:tblStyle w:val="3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top"/>
          </w:tcPr>
          <w:p>
            <w:pPr>
              <w:tabs>
                <w:tab w:val="left" w:pos="4800"/>
              </w:tabs>
              <w:spacing w:before="0" w:after="0" w:line="360" w:lineRule="auto"/>
              <w:rPr>
                <w:rFonts w:ascii="宋体" w:hAnsi="宋体" w:cs="宋体"/>
                <w:sz w:val="24"/>
                <w:szCs w:val="24"/>
                <w:u w:val="single"/>
              </w:rPr>
            </w:pPr>
            <w:r>
              <w:rPr>
                <w:rFonts w:hint="eastAsia" w:ascii="宋体" w:hAnsi="宋体" w:cs="宋体"/>
                <w:sz w:val="24"/>
                <w:szCs w:val="24"/>
              </w:rPr>
              <w:t>招标人（甲方）：四川省能投攀枝花水电开发有限公司(公章)</w:t>
            </w:r>
          </w:p>
        </w:tc>
        <w:tc>
          <w:tcPr>
            <w:tcW w:w="4261" w:type="dxa"/>
            <w:vAlign w:val="top"/>
          </w:tcPr>
          <w:p>
            <w:pPr>
              <w:tabs>
                <w:tab w:val="left" w:pos="4800"/>
              </w:tabs>
              <w:spacing w:before="0" w:after="0" w:line="360" w:lineRule="auto"/>
              <w:rPr>
                <w:rFonts w:ascii="宋体" w:hAnsi="宋体" w:cs="宋体"/>
                <w:sz w:val="24"/>
                <w:szCs w:val="24"/>
              </w:rPr>
            </w:pPr>
            <w:r>
              <w:rPr>
                <w:rFonts w:hint="eastAsia" w:ascii="宋体" w:hAnsi="宋体" w:cs="宋体"/>
                <w:sz w:val="24"/>
                <w:szCs w:val="24"/>
              </w:rPr>
              <w:t>投标人（乙方）：(公章)</w:t>
            </w:r>
          </w:p>
          <w:p>
            <w:pPr>
              <w:tabs>
                <w:tab w:val="left" w:pos="4800"/>
              </w:tabs>
              <w:spacing w:before="0" w:after="0" w:line="360" w:lineRule="auto"/>
              <w:rPr>
                <w:rFonts w:ascii="宋体" w:hAnsi="宋体" w:cs="宋体"/>
                <w:sz w:val="24"/>
                <w:szCs w:val="24"/>
                <w:u w:val="single"/>
              </w:rPr>
            </w:pPr>
            <w:r>
              <w:rPr>
                <w:rFonts w:hint="eastAsia" w:ascii="宋体" w:hAnsi="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261" w:type="dxa"/>
            <w:vAlign w:val="top"/>
          </w:tcPr>
          <w:p>
            <w:pPr>
              <w:tabs>
                <w:tab w:val="left" w:pos="4800"/>
              </w:tabs>
              <w:spacing w:before="0" w:after="0" w:line="360" w:lineRule="auto"/>
              <w:rPr>
                <w:rFonts w:ascii="宋体" w:hAnsi="宋体" w:cs="宋体"/>
                <w:sz w:val="24"/>
                <w:szCs w:val="24"/>
              </w:rPr>
            </w:pPr>
            <w:r>
              <w:rPr>
                <w:rFonts w:hint="eastAsia" w:ascii="宋体" w:hAnsi="宋体" w:cs="宋体"/>
                <w:sz w:val="24"/>
                <w:szCs w:val="24"/>
              </w:rPr>
              <w:t>法定代表人法定代表人</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pPr>
              <w:spacing w:before="0" w:after="0" w:line="360" w:lineRule="auto"/>
              <w:rPr>
                <w:rFonts w:ascii="宋体" w:hAnsi="宋体" w:cs="宋体"/>
                <w:sz w:val="24"/>
                <w:szCs w:val="24"/>
              </w:rPr>
            </w:pPr>
            <w:r>
              <w:rPr>
                <w:rFonts w:hint="eastAsia" w:ascii="宋体" w:hAnsi="宋体" w:cs="宋体"/>
                <w:sz w:val="24"/>
                <w:szCs w:val="24"/>
              </w:rPr>
              <w:t>(或委托代理人)：</w:t>
            </w:r>
          </w:p>
        </w:tc>
        <w:tc>
          <w:tcPr>
            <w:tcW w:w="4261" w:type="dxa"/>
            <w:vAlign w:val="top"/>
          </w:tcPr>
          <w:p>
            <w:pPr>
              <w:tabs>
                <w:tab w:val="left" w:pos="4800"/>
              </w:tabs>
              <w:spacing w:before="0" w:after="0" w:line="360" w:lineRule="auto"/>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rPr>
              <w:tab/>
            </w:r>
            <w:r>
              <w:rPr>
                <w:rFonts w:hint="eastAsia" w:ascii="宋体" w:hAnsi="宋体" w:cs="宋体"/>
                <w:sz w:val="24"/>
                <w:szCs w:val="24"/>
              </w:rPr>
              <w:t>法定代表人</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pPr>
              <w:spacing w:before="0" w:after="0" w:line="360" w:lineRule="auto"/>
              <w:rPr>
                <w:rFonts w:ascii="宋体" w:hAnsi="宋体" w:cs="宋体"/>
                <w:sz w:val="24"/>
                <w:szCs w:val="24"/>
              </w:rPr>
            </w:pPr>
            <w:r>
              <w:rPr>
                <w:rFonts w:hint="eastAsia" w:ascii="宋体" w:hAnsi="宋体" w:cs="宋体"/>
                <w:sz w:val="24"/>
                <w:szCs w:val="24"/>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261" w:type="dxa"/>
            <w:vAlign w:val="center"/>
          </w:tcPr>
          <w:p>
            <w:pPr>
              <w:pStyle w:val="55"/>
              <w:spacing w:line="360" w:lineRule="auto"/>
              <w:ind w:left="0"/>
              <w:jc w:val="left"/>
              <w:rPr>
                <w:rFonts w:ascii="宋体" w:hAnsi="宋体" w:cs="宋体"/>
                <w:szCs w:val="24"/>
              </w:rPr>
            </w:pPr>
            <w:r>
              <w:rPr>
                <w:rFonts w:hint="eastAsia" w:ascii="宋体" w:hAnsi="宋体" w:cs="宋体"/>
                <w:b w:val="0"/>
                <w:szCs w:val="24"/>
              </w:rPr>
              <w:t>日期：</w:t>
            </w:r>
          </w:p>
        </w:tc>
        <w:tc>
          <w:tcPr>
            <w:tcW w:w="4261" w:type="dxa"/>
            <w:vAlign w:val="center"/>
          </w:tcPr>
          <w:p>
            <w:pPr>
              <w:pStyle w:val="55"/>
              <w:spacing w:line="360" w:lineRule="auto"/>
              <w:ind w:left="0"/>
              <w:jc w:val="left"/>
              <w:rPr>
                <w:rFonts w:ascii="宋体" w:hAnsi="宋体" w:cs="宋体"/>
                <w:szCs w:val="24"/>
              </w:rPr>
            </w:pPr>
            <w:r>
              <w:rPr>
                <w:rFonts w:hint="eastAsia" w:ascii="宋体" w:hAnsi="宋体" w:cs="宋体"/>
                <w:b w:val="0"/>
                <w:szCs w:val="24"/>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地址：四川省攀枝花市西区建福巷88号</w:t>
            </w:r>
          </w:p>
        </w:tc>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邮政编码：</w:t>
            </w:r>
          </w:p>
        </w:tc>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电话：</w:t>
            </w:r>
          </w:p>
        </w:tc>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纳税人识别号：91510403590460698H</w:t>
            </w:r>
          </w:p>
        </w:tc>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开户银行：中国建设银行攀枝花西区支行</w:t>
            </w:r>
          </w:p>
        </w:tc>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账号：51001627438059555666</w:t>
            </w:r>
          </w:p>
        </w:tc>
        <w:tc>
          <w:tcPr>
            <w:tcW w:w="4261" w:type="dxa"/>
            <w:vAlign w:val="top"/>
          </w:tcPr>
          <w:p>
            <w:pPr>
              <w:spacing w:before="0" w:after="0" w:line="360" w:lineRule="auto"/>
              <w:rPr>
                <w:rFonts w:ascii="宋体" w:hAnsi="宋体" w:cs="宋体"/>
                <w:sz w:val="24"/>
                <w:szCs w:val="24"/>
              </w:rPr>
            </w:pPr>
            <w:r>
              <w:rPr>
                <w:rFonts w:hint="eastAsia" w:ascii="宋体" w:hAnsi="宋体" w:cs="宋体"/>
                <w:sz w:val="24"/>
                <w:szCs w:val="24"/>
              </w:rPr>
              <w:t>账号：</w:t>
            </w:r>
          </w:p>
        </w:tc>
      </w:tr>
    </w:tbl>
    <w:p>
      <w:pPr>
        <w:spacing w:line="360" w:lineRule="auto"/>
        <w:rPr>
          <w:rFonts w:ascii="宋体" w:hAnsi="宋体" w:cs="宋体"/>
          <w:sz w:val="24"/>
          <w:szCs w:val="24"/>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pacing w:before="0" w:after="0" w:line="360" w:lineRule="auto"/>
        <w:jc w:val="center"/>
        <w:rPr>
          <w:rFonts w:hint="eastAsia" w:ascii="宋体" w:hAnsi="宋体" w:cs="宋体"/>
          <w:b/>
          <w:bCs/>
          <w:sz w:val="24"/>
          <w:szCs w:val="24"/>
        </w:rPr>
        <w:sectPr>
          <w:pgSz w:w="11906" w:h="16838"/>
          <w:pgMar w:top="1247" w:right="1247" w:bottom="1247" w:left="1247" w:header="851" w:footer="992" w:gutter="0"/>
          <w:pgNumType w:fmt="decimal"/>
          <w:cols w:space="720" w:num="1"/>
          <w:titlePg/>
          <w:docGrid w:linePitch="381" w:charSpace="0"/>
        </w:sectPr>
      </w:pPr>
    </w:p>
    <w:p>
      <w:pPr>
        <w:spacing w:before="0" w:after="0" w:line="360" w:lineRule="auto"/>
        <w:jc w:val="center"/>
        <w:rPr>
          <w:rFonts w:ascii="宋体" w:hAnsi="宋体" w:cs="宋体"/>
          <w:b/>
          <w:bCs/>
          <w:sz w:val="24"/>
          <w:szCs w:val="24"/>
        </w:rPr>
      </w:pPr>
      <w:r>
        <w:rPr>
          <w:rFonts w:hint="eastAsia" w:ascii="宋体" w:hAnsi="宋体" w:cs="宋体"/>
          <w:b/>
          <w:bCs/>
          <w:sz w:val="24"/>
          <w:szCs w:val="24"/>
        </w:rPr>
        <w:t>物业服务质量满意度评分表</w:t>
      </w:r>
    </w:p>
    <w:tbl>
      <w:tblPr>
        <w:tblStyle w:val="33"/>
        <w:tblpPr w:leftFromText="180" w:rightFromText="180" w:vertAnchor="text" w:horzAnchor="page" w:tblpX="1487" w:tblpY="739"/>
        <w:tblOverlap w:val="never"/>
        <w:tblW w:w="9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3339"/>
        <w:gridCol w:w="5"/>
        <w:gridCol w:w="969"/>
        <w:gridCol w:w="5"/>
        <w:gridCol w:w="870"/>
        <w:gridCol w:w="5"/>
        <w:gridCol w:w="882"/>
        <w:gridCol w:w="5"/>
        <w:gridCol w:w="833"/>
        <w:gridCol w:w="1584"/>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cs="宋体"/>
                <w:b/>
                <w:bCs/>
                <w:kern w:val="0"/>
                <w:sz w:val="20"/>
                <w:szCs w:val="24"/>
              </w:rPr>
            </w:pPr>
            <w:r>
              <w:rPr>
                <w:rFonts w:hint="eastAsia" w:ascii="Calibri" w:hAnsi="Calibri" w:cs="宋体"/>
                <w:b/>
                <w:bCs/>
                <w:kern w:val="0"/>
                <w:sz w:val="20"/>
                <w:szCs w:val="24"/>
              </w:rPr>
              <w:t>项目</w:t>
            </w:r>
          </w:p>
        </w:tc>
        <w:tc>
          <w:tcPr>
            <w:tcW w:w="3339" w:type="dxa"/>
            <w:vMerge w:val="restart"/>
            <w:tcBorders>
              <w:top w:val="single" w:color="auto" w:sz="4" w:space="0"/>
              <w:left w:val="single" w:color="auto" w:sz="4" w:space="0"/>
              <w:bottom w:val="single" w:color="auto" w:sz="4" w:space="0"/>
              <w:right w:val="nil"/>
            </w:tcBorders>
            <w:vAlign w:val="center"/>
          </w:tcPr>
          <w:p>
            <w:pPr>
              <w:spacing w:line="240" w:lineRule="exact"/>
              <w:jc w:val="center"/>
              <w:rPr>
                <w:rFonts w:ascii="Calibri" w:hAnsi="Calibri" w:cs="宋体"/>
                <w:b/>
                <w:bCs/>
                <w:kern w:val="0"/>
                <w:sz w:val="20"/>
                <w:szCs w:val="24"/>
              </w:rPr>
            </w:pPr>
            <w:r>
              <w:rPr>
                <w:rFonts w:hint="eastAsia" w:ascii="Calibri" w:hAnsi="Calibri" w:cs="宋体"/>
                <w:b/>
                <w:bCs/>
                <w:kern w:val="0"/>
                <w:sz w:val="20"/>
                <w:szCs w:val="24"/>
              </w:rPr>
              <w:t>内容</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cs="宋体"/>
                <w:b/>
                <w:bCs/>
                <w:kern w:val="0"/>
                <w:sz w:val="20"/>
                <w:szCs w:val="24"/>
              </w:rPr>
            </w:pPr>
            <w:r>
              <w:rPr>
                <w:rFonts w:ascii="Calibri" w:hAnsi="Calibri" w:cs="宋体"/>
                <w:b/>
                <w:bCs/>
                <w:kern w:val="0"/>
                <w:sz w:val="20"/>
                <w:szCs w:val="24"/>
              </w:rPr>
              <w:t xml:space="preserve"> </w:t>
            </w:r>
            <w:r>
              <w:rPr>
                <w:rFonts w:hint="eastAsia" w:ascii="Calibri" w:hAnsi="Calibri" w:cs="宋体"/>
                <w:b/>
                <w:bCs/>
                <w:kern w:val="0"/>
                <w:sz w:val="20"/>
                <w:szCs w:val="24"/>
              </w:rPr>
              <w:t>满意</w:t>
            </w:r>
          </w:p>
        </w:tc>
        <w:tc>
          <w:tcPr>
            <w:tcW w:w="87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Calibri" w:hAnsi="Calibri" w:eastAsia="宋体" w:cs="宋体"/>
                <w:b/>
                <w:bCs/>
                <w:kern w:val="0"/>
                <w:sz w:val="20"/>
                <w:szCs w:val="24"/>
                <w:lang w:eastAsia="zh-CN"/>
              </w:rPr>
            </w:pPr>
            <w:r>
              <w:rPr>
                <w:rFonts w:hint="eastAsia" w:ascii="Calibri" w:hAnsi="Calibri" w:cs="宋体"/>
                <w:b/>
                <w:bCs/>
                <w:kern w:val="0"/>
                <w:sz w:val="20"/>
                <w:szCs w:val="24"/>
                <w:lang w:eastAsia="zh-CN"/>
              </w:rPr>
              <w:t>良</w:t>
            </w:r>
          </w:p>
        </w:tc>
        <w:tc>
          <w:tcPr>
            <w:tcW w:w="88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Calibri" w:hAnsi="Calibri" w:eastAsia="宋体" w:cs="宋体"/>
                <w:b/>
                <w:bCs/>
                <w:kern w:val="0"/>
                <w:sz w:val="20"/>
                <w:szCs w:val="24"/>
                <w:lang w:eastAsia="zh-CN"/>
              </w:rPr>
            </w:pPr>
            <w:r>
              <w:rPr>
                <w:rFonts w:hint="eastAsia" w:ascii="Calibri" w:hAnsi="Calibri" w:cs="宋体"/>
                <w:b/>
                <w:bCs/>
                <w:kern w:val="0"/>
                <w:sz w:val="20"/>
                <w:szCs w:val="24"/>
                <w:lang w:eastAsia="zh-CN"/>
              </w:rPr>
              <w:t>一般</w:t>
            </w:r>
          </w:p>
        </w:tc>
        <w:tc>
          <w:tcPr>
            <w:tcW w:w="838" w:type="dxa"/>
            <w:gridSpan w:val="2"/>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ascii="Calibri" w:hAnsi="Calibri" w:eastAsia="宋体" w:cs="宋体"/>
                <w:b/>
                <w:bCs/>
                <w:kern w:val="0"/>
                <w:sz w:val="20"/>
                <w:szCs w:val="24"/>
                <w:lang w:eastAsia="zh-CN"/>
              </w:rPr>
            </w:pPr>
            <w:r>
              <w:rPr>
                <w:rFonts w:hint="eastAsia" w:ascii="Calibri" w:hAnsi="Calibri" w:cs="宋体"/>
                <w:b/>
                <w:bCs/>
                <w:kern w:val="0"/>
                <w:sz w:val="20"/>
                <w:szCs w:val="24"/>
                <w:lang w:eastAsia="zh-CN"/>
              </w:rPr>
              <w:t>不满意</w:t>
            </w:r>
          </w:p>
        </w:tc>
        <w:tc>
          <w:tcPr>
            <w:tcW w:w="1589" w:type="dxa"/>
            <w:gridSpan w:val="2"/>
            <w:vMerge w:val="restart"/>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ascii="Calibri" w:hAnsi="Calibri" w:cs="宋体"/>
                <w:b/>
                <w:bCs/>
                <w:kern w:val="0"/>
                <w:sz w:val="20"/>
                <w:szCs w:val="24"/>
              </w:rPr>
            </w:pPr>
            <w:r>
              <w:rPr>
                <w:rFonts w:hint="eastAsia" w:ascii="Calibri" w:hAnsi="Calibri" w:cs="宋体"/>
                <w:b/>
                <w:bCs/>
                <w:kern w:val="0"/>
                <w:sz w:val="20"/>
                <w:szCs w:val="24"/>
              </w:rPr>
              <w:t>扣分待改善事项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b/>
                <w:bCs/>
                <w:kern w:val="0"/>
                <w:sz w:val="20"/>
                <w:szCs w:val="24"/>
              </w:rPr>
            </w:pPr>
          </w:p>
        </w:tc>
        <w:tc>
          <w:tcPr>
            <w:tcW w:w="3339" w:type="dxa"/>
            <w:vMerge w:val="continue"/>
            <w:tcBorders>
              <w:top w:val="single" w:color="auto" w:sz="4" w:space="0"/>
              <w:left w:val="single" w:color="auto" w:sz="4" w:space="0"/>
              <w:bottom w:val="single" w:color="auto" w:sz="4" w:space="0"/>
              <w:right w:val="nil"/>
            </w:tcBorders>
            <w:vAlign w:val="center"/>
          </w:tcPr>
          <w:p>
            <w:pPr>
              <w:spacing w:line="240" w:lineRule="exact"/>
              <w:jc w:val="left"/>
              <w:rPr>
                <w:rFonts w:ascii="Calibri" w:hAnsi="Calibri" w:cs="宋体"/>
                <w:b/>
                <w:bCs/>
                <w:kern w:val="0"/>
                <w:sz w:val="20"/>
                <w:szCs w:val="24"/>
              </w:rPr>
            </w:pPr>
          </w:p>
        </w:tc>
        <w:tc>
          <w:tcPr>
            <w:tcW w:w="974"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宋体"/>
                <w:b/>
                <w:bCs/>
                <w:kern w:val="0"/>
                <w:sz w:val="20"/>
                <w:szCs w:val="24"/>
              </w:rPr>
            </w:pPr>
            <w:r>
              <w:rPr>
                <w:rFonts w:ascii="Calibri" w:hAnsi="Calibri" w:cs="宋体"/>
                <w:b/>
                <w:bCs/>
                <w:kern w:val="0"/>
                <w:sz w:val="20"/>
                <w:szCs w:val="24"/>
              </w:rPr>
              <w:t>95-100</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b/>
                <w:bCs/>
                <w:kern w:val="0"/>
                <w:sz w:val="20"/>
                <w:szCs w:val="24"/>
              </w:rPr>
            </w:pPr>
            <w:r>
              <w:rPr>
                <w:rFonts w:hint="eastAsia" w:ascii="Calibri" w:hAnsi="Calibri" w:cs="宋体"/>
                <w:b/>
                <w:bCs/>
                <w:kern w:val="0"/>
                <w:sz w:val="20"/>
                <w:szCs w:val="24"/>
                <w:lang w:val="en-US" w:eastAsia="zh-CN"/>
              </w:rPr>
              <w:t>90</w:t>
            </w:r>
            <w:r>
              <w:rPr>
                <w:rFonts w:ascii="Calibri" w:hAnsi="Calibri" w:cs="宋体"/>
                <w:b/>
                <w:bCs/>
                <w:kern w:val="0"/>
                <w:sz w:val="20"/>
                <w:szCs w:val="24"/>
              </w:rPr>
              <w:t>-94</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hint="default" w:ascii="Calibri" w:hAnsi="Calibri" w:eastAsia="宋体" w:cs="宋体"/>
                <w:b/>
                <w:bCs/>
                <w:kern w:val="0"/>
                <w:sz w:val="20"/>
                <w:szCs w:val="24"/>
                <w:lang w:val="en-US" w:eastAsia="zh-CN"/>
              </w:rPr>
            </w:pPr>
            <w:r>
              <w:rPr>
                <w:rFonts w:hint="eastAsia" w:ascii="Calibri" w:hAnsi="Calibri" w:cs="宋体"/>
                <w:b/>
                <w:bCs/>
                <w:kern w:val="0"/>
                <w:sz w:val="20"/>
                <w:szCs w:val="24"/>
                <w:lang w:val="en-US" w:eastAsia="zh-CN"/>
              </w:rPr>
              <w:t>80</w:t>
            </w:r>
            <w:r>
              <w:rPr>
                <w:rFonts w:ascii="Calibri" w:hAnsi="Calibri" w:cs="宋体"/>
                <w:b/>
                <w:bCs/>
                <w:kern w:val="0"/>
                <w:sz w:val="20"/>
                <w:szCs w:val="24"/>
              </w:rPr>
              <w:t>-</w:t>
            </w:r>
            <w:r>
              <w:rPr>
                <w:rFonts w:hint="eastAsia" w:ascii="Calibri" w:hAnsi="Calibri" w:cs="宋体"/>
                <w:b/>
                <w:bCs/>
                <w:kern w:val="0"/>
                <w:sz w:val="20"/>
                <w:szCs w:val="24"/>
                <w:lang w:val="en-US" w:eastAsia="zh-CN"/>
              </w:rPr>
              <w:t>89</w:t>
            </w:r>
          </w:p>
        </w:tc>
        <w:tc>
          <w:tcPr>
            <w:tcW w:w="838" w:type="dxa"/>
            <w:gridSpan w:val="2"/>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hint="eastAsia" w:ascii="Calibri" w:hAnsi="Calibri" w:eastAsia="宋体" w:cs="宋体"/>
                <w:b/>
                <w:bCs/>
                <w:kern w:val="0"/>
                <w:sz w:val="20"/>
                <w:szCs w:val="24"/>
                <w:lang w:eastAsia="zh-CN"/>
              </w:rPr>
            </w:pPr>
            <w:r>
              <w:rPr>
                <w:rFonts w:hint="eastAsia" w:ascii="Calibri" w:hAnsi="Calibri" w:cs="宋体"/>
                <w:b/>
                <w:bCs/>
                <w:kern w:val="0"/>
                <w:sz w:val="20"/>
                <w:szCs w:val="24"/>
                <w:lang w:val="en-US" w:eastAsia="zh-CN"/>
              </w:rPr>
              <w:t>80</w:t>
            </w:r>
            <w:r>
              <w:rPr>
                <w:rFonts w:hint="eastAsia" w:ascii="Calibri" w:hAnsi="Calibri" w:cs="宋体"/>
                <w:b/>
                <w:bCs/>
                <w:kern w:val="0"/>
                <w:sz w:val="20"/>
                <w:szCs w:val="24"/>
                <w:lang w:eastAsia="zh-CN"/>
              </w:rPr>
              <w:t>以下</w:t>
            </w:r>
          </w:p>
        </w:tc>
        <w:tc>
          <w:tcPr>
            <w:tcW w:w="158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b/>
                <w:bCs/>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7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前台</w:t>
            </w:r>
            <w:r>
              <w:rPr>
                <w:rFonts w:ascii="Calibri" w:hAnsi="Calibri" w:cs="宋体"/>
                <w:kern w:val="0"/>
                <w:sz w:val="20"/>
                <w:szCs w:val="24"/>
              </w:rPr>
              <w:t xml:space="preserve">  </w:t>
            </w:r>
            <w:r>
              <w:rPr>
                <w:rFonts w:hint="eastAsia" w:ascii="Calibri" w:hAnsi="Calibri" w:cs="宋体"/>
                <w:kern w:val="0"/>
                <w:sz w:val="20"/>
                <w:szCs w:val="24"/>
              </w:rPr>
              <w:t>会务</w:t>
            </w: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1、前台人员的服务态度</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nil"/>
              <w:left w:val="single" w:color="auto" w:sz="4" w:space="0"/>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2、客服热线接听及时率</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3、客户诉求处理的及时性</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4、邮件、报刊、包裹代收工作</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5</w:t>
            </w:r>
            <w:r>
              <w:rPr>
                <w:rFonts w:hint="eastAsia" w:ascii="Calibri" w:hAnsi="Calibri" w:cs="宋体"/>
                <w:kern w:val="0"/>
                <w:sz w:val="20"/>
                <w:szCs w:val="24"/>
              </w:rPr>
              <w:t>、会务服务工作</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6</w:t>
            </w:r>
            <w:r>
              <w:rPr>
                <w:rFonts w:hint="eastAsia" w:ascii="Calibri" w:hAnsi="Calibri" w:cs="宋体"/>
                <w:kern w:val="0"/>
                <w:sz w:val="20"/>
                <w:szCs w:val="24"/>
              </w:rPr>
              <w:t>、行政前台整体服务工作</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restart"/>
            <w:tcBorders>
              <w:top w:val="nil"/>
              <w:left w:val="single" w:color="auto" w:sz="4" w:space="0"/>
              <w:right w:val="single" w:color="auto" w:sz="4" w:space="0"/>
            </w:tcBorders>
            <w:vAlign w:val="center"/>
          </w:tcPr>
          <w:p>
            <w:pPr>
              <w:spacing w:line="240" w:lineRule="exact"/>
              <w:jc w:val="left"/>
              <w:rPr>
                <w:rFonts w:ascii="Calibri" w:hAnsi="Calibri" w:cs="宋体"/>
                <w:kern w:val="0"/>
                <w:sz w:val="20"/>
                <w:szCs w:val="24"/>
              </w:rPr>
            </w:pPr>
            <w:r>
              <w:rPr>
                <w:rFonts w:hint="eastAsia" w:ascii="Calibri" w:hAnsi="Calibri" w:cs="宋体"/>
                <w:kern w:val="0"/>
                <w:sz w:val="20"/>
                <w:szCs w:val="24"/>
              </w:rPr>
              <w:t>保安</w:t>
            </w: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1.保安人员的服务态度</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left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2.门卫管理服务状况</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nil"/>
              <w:left w:val="single" w:color="auto" w:sz="4" w:space="0"/>
              <w:bottom w:val="single" w:color="000000"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left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3.车辆管理服务状况</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nil"/>
              <w:left w:val="single" w:color="auto" w:sz="4" w:space="0"/>
              <w:bottom w:val="single" w:color="000000"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left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4.监控中心保障情况</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nil"/>
              <w:left w:val="single" w:color="auto" w:sz="4" w:space="0"/>
              <w:bottom w:val="single" w:color="000000"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left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5.安全巡逻和治安协助情况</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nil"/>
              <w:left w:val="single" w:color="auto" w:sz="4" w:space="0"/>
              <w:bottom w:val="single" w:color="000000"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6.消防和其他安全工作</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nil"/>
              <w:left w:val="single" w:color="auto" w:sz="4" w:space="0"/>
              <w:bottom w:val="single" w:color="000000"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保洁</w:t>
            </w: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1、保洁人员的服务态度</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宋体"/>
                <w:b/>
                <w:bCs/>
                <w:kern w:val="0"/>
                <w:sz w:val="20"/>
                <w:szCs w:val="24"/>
              </w:rPr>
            </w:pPr>
            <w:r>
              <w:rPr>
                <w:rFonts w:hint="eastAsia" w:ascii="Calibri" w:hAnsi="Calibri" w:cs="宋体"/>
                <w:b/>
                <w:bCs/>
                <w:kern w:val="0"/>
                <w:sz w:val="20"/>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2、到位情况及清洁维护及时性</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b/>
                <w:bCs/>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3、保洁工作时间安排合理性</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b/>
                <w:bCs/>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4、室内保洁质量</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b/>
                <w:bCs/>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5、公共区域保洁质量</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b/>
                <w:bCs/>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6</w:t>
            </w:r>
            <w:r>
              <w:rPr>
                <w:rFonts w:hint="eastAsia" w:ascii="Calibri" w:hAnsi="Calibri" w:cs="宋体"/>
                <w:kern w:val="0"/>
                <w:sz w:val="20"/>
                <w:szCs w:val="24"/>
              </w:rPr>
              <w:t>、相关客户诉求处理情况</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b/>
                <w:bCs/>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7</w:t>
            </w:r>
            <w:r>
              <w:rPr>
                <w:rFonts w:hint="eastAsia" w:ascii="Calibri" w:hAnsi="Calibri" w:cs="宋体"/>
                <w:kern w:val="0"/>
                <w:sz w:val="20"/>
                <w:szCs w:val="24"/>
              </w:rPr>
              <w:t>、保洁服务整体工作</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b/>
                <w:bCs/>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工程</w:t>
            </w:r>
            <w:r>
              <w:rPr>
                <w:rFonts w:ascii="Calibri" w:hAnsi="Calibri" w:cs="宋体"/>
                <w:kern w:val="0"/>
                <w:sz w:val="20"/>
                <w:szCs w:val="24"/>
              </w:rPr>
              <w:t xml:space="preserve">  </w:t>
            </w:r>
            <w:r>
              <w:rPr>
                <w:rFonts w:hint="eastAsia" w:ascii="Calibri" w:hAnsi="Calibri" w:cs="宋体"/>
                <w:kern w:val="0"/>
                <w:sz w:val="20"/>
                <w:szCs w:val="24"/>
              </w:rPr>
              <w:t>绿化</w:t>
            </w:r>
          </w:p>
        </w:tc>
        <w:tc>
          <w:tcPr>
            <w:tcW w:w="3339" w:type="dxa"/>
            <w:tcBorders>
              <w:top w:val="single" w:color="auto" w:sz="4" w:space="0"/>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1、工程人员的服务态度</w:t>
            </w:r>
          </w:p>
        </w:tc>
        <w:tc>
          <w:tcPr>
            <w:tcW w:w="97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single" w:color="auto" w:sz="4" w:space="0"/>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2、工程人员的技术能力</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single" w:color="auto" w:sz="4" w:space="0"/>
              <w:left w:val="single" w:color="auto" w:sz="4" w:space="0"/>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3、故障报修处理的及时性</w:t>
            </w:r>
          </w:p>
        </w:tc>
        <w:tc>
          <w:tcPr>
            <w:tcW w:w="97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single" w:color="auto" w:sz="4" w:space="0"/>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single" w:color="auto" w:sz="4" w:space="0"/>
              <w:left w:val="nil"/>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4、故障维修的质量</w:t>
            </w:r>
          </w:p>
        </w:tc>
        <w:tc>
          <w:tcPr>
            <w:tcW w:w="97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single" w:color="auto" w:sz="4" w:space="0"/>
              <w:left w:val="single" w:color="auto" w:sz="4" w:space="0"/>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5、维修处理工作的程序及规范性</w:t>
            </w:r>
          </w:p>
        </w:tc>
        <w:tc>
          <w:tcPr>
            <w:tcW w:w="97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single" w:color="auto" w:sz="4" w:space="0"/>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single" w:color="auto" w:sz="4" w:space="0"/>
              <w:left w:val="single" w:color="auto" w:sz="4" w:space="0"/>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6、办公区域照明灯具和用电维护</w:t>
            </w:r>
          </w:p>
        </w:tc>
        <w:tc>
          <w:tcPr>
            <w:tcW w:w="97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single" w:color="auto" w:sz="4" w:space="0"/>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single" w:color="auto" w:sz="4" w:space="0"/>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ascii="Calibri" w:hAnsi="Calibri" w:cs="宋体"/>
                <w:kern w:val="0"/>
                <w:sz w:val="20"/>
                <w:szCs w:val="24"/>
              </w:rPr>
              <w:t>7、工程维护整体工作</w:t>
            </w:r>
          </w:p>
        </w:tc>
        <w:tc>
          <w:tcPr>
            <w:tcW w:w="974"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nil"/>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nil"/>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c>
          <w:tcPr>
            <w:tcW w:w="3339" w:type="dxa"/>
            <w:tcBorders>
              <w:top w:val="nil"/>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r>
              <w:rPr>
                <w:rFonts w:ascii="Calibri" w:hAnsi="Calibri" w:cs="宋体"/>
                <w:kern w:val="0"/>
                <w:sz w:val="20"/>
                <w:szCs w:val="24"/>
              </w:rPr>
              <w:t>8</w:t>
            </w:r>
            <w:r>
              <w:rPr>
                <w:rFonts w:hint="eastAsia" w:ascii="Calibri" w:hAnsi="Calibri" w:cs="宋体"/>
                <w:kern w:val="0"/>
                <w:sz w:val="20"/>
                <w:szCs w:val="24"/>
              </w:rPr>
              <w:t>、植物养护整体工作</w:t>
            </w:r>
          </w:p>
        </w:tc>
        <w:tc>
          <w:tcPr>
            <w:tcW w:w="974"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75"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87"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838"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cs="宋体"/>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30" w:hRule="atLeast"/>
        </w:trPr>
        <w:tc>
          <w:tcPr>
            <w:tcW w:w="575" w:type="dxa"/>
            <w:tcBorders>
              <w:top w:val="nil"/>
              <w:left w:val="single" w:color="auto" w:sz="4" w:space="0"/>
              <w:bottom w:val="single" w:color="auto" w:sz="4" w:space="0"/>
              <w:right w:val="single" w:color="auto" w:sz="4" w:space="0"/>
            </w:tcBorders>
            <w:vAlign w:val="bottom"/>
          </w:tcPr>
          <w:p>
            <w:pPr>
              <w:spacing w:line="240" w:lineRule="exact"/>
              <w:jc w:val="left"/>
              <w:rPr>
                <w:rFonts w:ascii="Calibri" w:hAnsi="Calibri" w:cs="宋体"/>
                <w:kern w:val="0"/>
                <w:sz w:val="20"/>
                <w:szCs w:val="24"/>
              </w:rPr>
            </w:pPr>
            <w:r>
              <w:rPr>
                <w:rFonts w:hint="eastAsia" w:ascii="Calibri" w:hAnsi="Calibri" w:cs="宋体"/>
                <w:kern w:val="0"/>
                <w:sz w:val="20"/>
                <w:szCs w:val="24"/>
              </w:rPr>
              <w:t>平均得分</w:t>
            </w:r>
          </w:p>
        </w:tc>
        <w:tc>
          <w:tcPr>
            <w:tcW w:w="3344" w:type="dxa"/>
            <w:gridSpan w:val="2"/>
            <w:tcBorders>
              <w:top w:val="single" w:color="auto" w:sz="4" w:space="0"/>
              <w:left w:val="single" w:color="auto" w:sz="4" w:space="0"/>
              <w:bottom w:val="single" w:color="auto" w:sz="4" w:space="0"/>
              <w:right w:val="single" w:color="auto" w:sz="4" w:space="0"/>
            </w:tcBorders>
            <w:vAlign w:val="bottom"/>
          </w:tcPr>
          <w:p>
            <w:pPr>
              <w:spacing w:line="240" w:lineRule="exact"/>
              <w:jc w:val="center"/>
              <w:rPr>
                <w:rFonts w:ascii="Calibri" w:hAnsi="Calibri" w:cs="宋体"/>
                <w:kern w:val="0"/>
                <w:sz w:val="20"/>
                <w:szCs w:val="24"/>
              </w:rPr>
            </w:pPr>
            <w:r>
              <w:rPr>
                <w:rFonts w:hint="eastAsia" w:ascii="Calibri" w:hAnsi="Calibri" w:cs="宋体"/>
                <w:kern w:val="0"/>
                <w:sz w:val="20"/>
                <w:szCs w:val="24"/>
              </w:rPr>
              <w:t>　</w:t>
            </w:r>
          </w:p>
        </w:tc>
        <w:tc>
          <w:tcPr>
            <w:tcW w:w="974" w:type="dxa"/>
            <w:gridSpan w:val="2"/>
            <w:tcBorders>
              <w:top w:val="single" w:color="auto" w:sz="4" w:space="0"/>
              <w:left w:val="single" w:color="auto" w:sz="4" w:space="0"/>
              <w:bottom w:val="single" w:color="auto" w:sz="4" w:space="0"/>
              <w:right w:val="single" w:color="auto" w:sz="4" w:space="0"/>
            </w:tcBorders>
            <w:vAlign w:val="bottom"/>
          </w:tcPr>
          <w:p>
            <w:pPr>
              <w:spacing w:line="240" w:lineRule="exact"/>
              <w:jc w:val="center"/>
              <w:rPr>
                <w:rFonts w:hint="eastAsia" w:ascii="Calibri" w:hAnsi="Calibri" w:cs="宋体"/>
                <w:kern w:val="0"/>
                <w:sz w:val="20"/>
                <w:szCs w:val="24"/>
              </w:rPr>
            </w:pPr>
          </w:p>
        </w:tc>
        <w:tc>
          <w:tcPr>
            <w:tcW w:w="875" w:type="dxa"/>
            <w:gridSpan w:val="2"/>
            <w:tcBorders>
              <w:top w:val="single" w:color="auto" w:sz="4" w:space="0"/>
              <w:left w:val="single" w:color="auto" w:sz="4" w:space="0"/>
              <w:bottom w:val="single" w:color="auto" w:sz="4" w:space="0"/>
              <w:right w:val="single" w:color="auto" w:sz="4" w:space="0"/>
            </w:tcBorders>
            <w:vAlign w:val="bottom"/>
          </w:tcPr>
          <w:p>
            <w:pPr>
              <w:spacing w:line="240" w:lineRule="exact"/>
              <w:jc w:val="center"/>
              <w:rPr>
                <w:rFonts w:hint="eastAsia" w:ascii="Calibri" w:hAnsi="Calibri" w:cs="宋体"/>
                <w:kern w:val="0"/>
                <w:sz w:val="20"/>
                <w:szCs w:val="24"/>
              </w:rPr>
            </w:pPr>
          </w:p>
        </w:tc>
        <w:tc>
          <w:tcPr>
            <w:tcW w:w="887" w:type="dxa"/>
            <w:gridSpan w:val="2"/>
            <w:tcBorders>
              <w:top w:val="single" w:color="auto" w:sz="4" w:space="0"/>
              <w:left w:val="single" w:color="auto" w:sz="4" w:space="0"/>
              <w:bottom w:val="single" w:color="auto" w:sz="4" w:space="0"/>
              <w:right w:val="single" w:color="auto" w:sz="4" w:space="0"/>
            </w:tcBorders>
            <w:vAlign w:val="bottom"/>
          </w:tcPr>
          <w:p>
            <w:pPr>
              <w:spacing w:line="240" w:lineRule="exact"/>
              <w:jc w:val="center"/>
              <w:rPr>
                <w:rFonts w:hint="eastAsia" w:ascii="Calibri" w:hAnsi="Calibri" w:cs="宋体"/>
                <w:kern w:val="0"/>
                <w:sz w:val="20"/>
                <w:szCs w:val="24"/>
              </w:rPr>
            </w:pPr>
          </w:p>
        </w:tc>
        <w:tc>
          <w:tcPr>
            <w:tcW w:w="833" w:type="dxa"/>
            <w:tcBorders>
              <w:top w:val="single" w:color="auto" w:sz="4" w:space="0"/>
              <w:left w:val="single" w:color="auto" w:sz="4" w:space="0"/>
              <w:bottom w:val="single" w:color="auto" w:sz="4" w:space="0"/>
              <w:right w:val="single" w:color="auto" w:sz="4" w:space="0"/>
            </w:tcBorders>
            <w:vAlign w:val="bottom"/>
          </w:tcPr>
          <w:p>
            <w:pPr>
              <w:spacing w:line="240" w:lineRule="exact"/>
              <w:jc w:val="center"/>
              <w:rPr>
                <w:rFonts w:hint="eastAsia" w:ascii="Calibri" w:hAnsi="Calibri" w:cs="宋体"/>
                <w:kern w:val="0"/>
                <w:sz w:val="20"/>
                <w:szCs w:val="24"/>
              </w:rPr>
            </w:pPr>
          </w:p>
        </w:tc>
        <w:tc>
          <w:tcPr>
            <w:tcW w:w="1584" w:type="dxa"/>
            <w:tcBorders>
              <w:top w:val="single" w:color="auto" w:sz="4" w:space="0"/>
              <w:left w:val="single" w:color="auto" w:sz="4" w:space="0"/>
              <w:bottom w:val="single" w:color="auto" w:sz="4" w:space="0"/>
              <w:right w:val="single" w:color="auto" w:sz="4" w:space="0"/>
            </w:tcBorders>
            <w:vAlign w:val="bottom"/>
          </w:tcPr>
          <w:p>
            <w:pPr>
              <w:spacing w:line="240" w:lineRule="exact"/>
              <w:jc w:val="center"/>
              <w:rPr>
                <w:rFonts w:hint="eastAsia" w:ascii="Calibri" w:hAnsi="Calibri" w:cs="宋体"/>
                <w:kern w:val="0"/>
                <w:sz w:val="20"/>
                <w:szCs w:val="24"/>
              </w:rPr>
            </w:pPr>
          </w:p>
        </w:tc>
      </w:tr>
    </w:tbl>
    <w:p>
      <w:pPr>
        <w:pStyle w:val="18"/>
        <w:tabs>
          <w:tab w:val="left" w:pos="4945"/>
        </w:tabs>
        <w:spacing w:before="0" w:after="0" w:line="360" w:lineRule="auto"/>
        <w:rPr>
          <w:rFonts w:hAnsi="宋体" w:cs="宋体"/>
          <w:sz w:val="24"/>
          <w:szCs w:val="24"/>
        </w:rPr>
      </w:pPr>
    </w:p>
    <w:p>
      <w:pPr>
        <w:pStyle w:val="18"/>
        <w:tabs>
          <w:tab w:val="left" w:pos="4945"/>
        </w:tabs>
        <w:spacing w:before="0" w:after="0"/>
        <w:jc w:val="center"/>
        <w:rPr>
          <w:rFonts w:hAnsi="宋体" w:cs="宋体"/>
          <w:b/>
          <w:bCs/>
          <w:sz w:val="24"/>
          <w:szCs w:val="24"/>
        </w:rPr>
      </w:pPr>
    </w:p>
    <w:p>
      <w:pPr>
        <w:pStyle w:val="18"/>
        <w:tabs>
          <w:tab w:val="left" w:pos="4945"/>
        </w:tabs>
        <w:spacing w:before="0" w:after="0"/>
        <w:jc w:val="center"/>
        <w:rPr>
          <w:rFonts w:hAnsi="宋体" w:cs="宋体"/>
          <w:snapToGrid w:val="0"/>
          <w:kern w:val="0"/>
          <w:sz w:val="24"/>
          <w:szCs w:val="24"/>
        </w:rPr>
      </w:pPr>
      <w:r>
        <w:rPr>
          <w:rFonts w:hint="eastAsia" w:hAnsi="宋体" w:cs="宋体"/>
          <w:b/>
          <w:bCs/>
          <w:sz w:val="24"/>
          <w:szCs w:val="24"/>
        </w:rPr>
        <w:t>第二节</w:t>
      </w:r>
      <w:bookmarkStart w:id="220" w:name="_Toc419981675"/>
      <w:bookmarkStart w:id="221" w:name="_Toc419981814"/>
      <w:r>
        <w:rPr>
          <w:rFonts w:hint="eastAsia" w:hAnsi="宋体" w:cs="宋体"/>
          <w:snapToGrid w:val="0"/>
          <w:kern w:val="0"/>
          <w:sz w:val="24"/>
          <w:szCs w:val="24"/>
        </w:rPr>
        <w:t>安全协议</w:t>
      </w:r>
      <w:bookmarkEnd w:id="220"/>
      <w:bookmarkEnd w:id="221"/>
    </w:p>
    <w:p>
      <w:pPr>
        <w:adjustRightInd w:val="0"/>
        <w:snapToGrid w:val="0"/>
        <w:spacing w:line="360" w:lineRule="auto"/>
        <w:rPr>
          <w:rFonts w:ascii="宋体" w:hAnsi="宋体" w:cs="宋体"/>
          <w:snapToGrid w:val="0"/>
          <w:kern w:val="0"/>
          <w:sz w:val="24"/>
          <w:szCs w:val="24"/>
          <w:u w:val="single"/>
        </w:rPr>
      </w:pPr>
      <w:r>
        <w:rPr>
          <w:rFonts w:hint="eastAsia" w:ascii="宋体" w:hAnsi="宋体" w:cs="宋体"/>
          <w:snapToGrid w:val="0"/>
          <w:kern w:val="0"/>
          <w:sz w:val="24"/>
          <w:szCs w:val="24"/>
        </w:rPr>
        <w:t>发包方：</w:t>
      </w:r>
      <w:r>
        <w:rPr>
          <w:rFonts w:hint="eastAsia" w:ascii="宋体" w:hAnsi="宋体" w:cs="宋体"/>
          <w:snapToGrid w:val="0"/>
          <w:kern w:val="0"/>
          <w:sz w:val="24"/>
          <w:szCs w:val="24"/>
          <w:u w:val="single"/>
        </w:rPr>
        <w:t xml:space="preserve">                               </w:t>
      </w:r>
    </w:p>
    <w:p>
      <w:pPr>
        <w:adjustRightInd w:val="0"/>
        <w:snapToGrid w:val="0"/>
        <w:spacing w:line="360" w:lineRule="auto"/>
        <w:rPr>
          <w:rFonts w:ascii="宋体" w:hAnsi="宋体" w:cs="宋体"/>
          <w:snapToGrid w:val="0"/>
          <w:kern w:val="0"/>
          <w:sz w:val="24"/>
          <w:szCs w:val="24"/>
          <w:u w:val="single"/>
        </w:rPr>
      </w:pPr>
      <w:r>
        <w:rPr>
          <w:rFonts w:hint="eastAsia" w:ascii="宋体" w:hAnsi="宋体" w:cs="宋体"/>
          <w:snapToGrid w:val="0"/>
          <w:kern w:val="0"/>
          <w:sz w:val="24"/>
          <w:szCs w:val="24"/>
        </w:rPr>
        <w:t>承包方：</w:t>
      </w:r>
      <w:r>
        <w:rPr>
          <w:rFonts w:hint="eastAsia" w:ascii="宋体" w:hAnsi="宋体" w:cs="宋体"/>
          <w:snapToGrid w:val="0"/>
          <w:kern w:val="0"/>
          <w:sz w:val="24"/>
          <w:szCs w:val="24"/>
          <w:u w:val="single"/>
        </w:rPr>
        <w:t xml:space="preserve">                               </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双方约定，为贯彻“安全第一、预防为主、综合治理”的方针，明确双方的安全责任，确保合同履行中人身、电网和设备安全，根据国家有关法律法规，经双方协商一致签订本协议。</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 xml:space="preserve">第一条 项目名称：                                                 </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 xml:space="preserve">第二条 合同履行地点  ：   </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第三条 甲乙双方的共同责任</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（一）遵守国家和地方有关安全生产的法律、法规和规定，认真执行国家、行业、企业安全技术标准。</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二）坚持“安全第一，预防为主，综合治理”的方针，严禁违章指挥、违章作业和违反劳动纪律的行为。承包人不得要求物业服务人员违章指挥和强令冒险作业，承包人派遣的劳务人员有权拒绝违章指挥和强令冒险作业行为。</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三）发生事故时，应立即采取措施保护现场，抢救伤员，防止事故扩大，并及时报告上级主管部门，组成事故调查小组，查明事故原因，确定事故责任，按照“四不放过”的原则拟订改进措施，提出对事故责任者的处理意见。</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第四条 发包人的安全责任</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一）如承包人物业服务人员工作时需要涉及电厂运行区域时，工作前,发包人对承包人进行安全技术交底和危险源告知并书面签字确认，让其熟悉现场安全措施及应急措施，安全技术交底和危险源告知书应经双方安全监察人员确认。</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（二）在承包人派遣的劳务人员进场作业前，应对其身体素质、文化素质、身份证件情况进行审查。严禁未成年人和不适应现场安全作业要求的人员或老弱病残人员参加相关服务工作任务。</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（三）负责对承包人派遣的劳务人员进行相关安全知识教育、安全技能培训与考核，不得使用安全教育考核不合格的人员。</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（四）根据工作需要，督促承包人为派遣的劳务人员配发合格的劳动防护用品，并培训、监督其正确佩戴和使用劳动防护用品。</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（五）发包人有权检查督促承包人执行有关安全生产方面的工作规定，对承包人不符合安全文明施工的行为进行制止、纠正并发出安全整改通知书。</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第五条 承包人的安全责任</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派遣的劳务人员必须接受发包人的指挥和监督管理，遵守发包人的安全管理制度，熟悉相关事故应急救援预案并参加发包人组织的应急救援演习；在服务现场发生设备、人身事故或发现安全隐患时，必须及时报告发包人，服从发包人现场管理人员的统一指挥，积极参与抢险救援。</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2、派遣的劳务人员在进入发包人生产现场工作前，必须学习《电业安全工作规程》的相关内容，接受发包人组织的安全知识教育。</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3、承包人派遣劳务人员在现场服务时，严禁私自进入服务工作范围以外的电厂运行区域，严禁擅自动用与工作无关的设备和设施，因不听从安排、擅自动用设备设施造成不良影响或导致发生不安全事件的，承担全部责任。</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4、承包人对派遣的劳务人员往返居住地（包括就餐地点）到工作地点的交通安全和人身安全负全部责任，发包人不承担任何责任和费用。</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5、派遣的劳务人员在服务现场内因工受伤害时，必须立即向发包人现场负责人报告，同时报告承包人，接受甲乙双方人员调查，在2小时后补报的不予受理；在服务现场以外，非发包人用工部门安排的作业，出现事故时，由承包人负责处理，发包人不予受理。</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第六条 安全违约责任</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由于发包人或承包人责任造成对方或第三方的人身伤害、设备损坏等造成的财产损失，由责任方承担相应责任，并赔偿对方或第三方因此造成的全部经济损失。</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第七条 根据国家法律法规规定，承包人人员在服务现场发生违法犯罪行为的，除将当事人移交公安机关处理外，发包人应赔偿其行为造成的损失。</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第八条 工伤事故的处理原则</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承包方人员在履行承包合同时发生安全事故或意外事故时，按以下原则进行处理：</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1、由承包人按工伤程序理赔（未购买工伤保险的，在工伤保险范围内的赔偿责任均由承包人自行赔偿）；</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2、工伤保险赔偿不予理赔部分，由承包人向商业保险公司理赔（承包人未按本合同要求足额购买商业意外伤害险的，由承包人自行全额进行赔偿）；</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3、超过工伤及商业意外险理赔的部分，由各方根据安监部门或司法机关的责任认定，按责任比例进行分摊。非因发包人原因造成的事故，由承包人自行承担一切赔偿责任。</w:t>
      </w: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第九条 本安全协议作为合同文件的附件，与合同同时生效和终止，合同协议书签订的同时视为本安全协议已签订生效。</w:t>
      </w:r>
    </w:p>
    <w:p>
      <w:pPr>
        <w:adjustRightInd w:val="0"/>
        <w:snapToGrid w:val="0"/>
        <w:spacing w:line="360" w:lineRule="auto"/>
        <w:ind w:firstLine="480" w:firstLineChars="200"/>
        <w:rPr>
          <w:rFonts w:ascii="宋体" w:hAnsi="宋体" w:cs="宋体"/>
          <w:snapToGrid w:val="0"/>
          <w:kern w:val="0"/>
          <w:sz w:val="24"/>
          <w:szCs w:val="24"/>
        </w:rPr>
        <w:sectPr>
          <w:pgSz w:w="11906" w:h="16838"/>
          <w:pgMar w:top="1247" w:right="1247" w:bottom="1247" w:left="1247" w:header="851" w:footer="992" w:gutter="0"/>
          <w:pgNumType w:fmt="decimal"/>
          <w:cols w:space="720" w:num="1"/>
          <w:titlePg/>
          <w:docGrid w:linePitch="381" w:charSpace="0"/>
        </w:sectPr>
      </w:pPr>
      <w:r>
        <w:rPr>
          <w:rFonts w:hint="eastAsia" w:ascii="宋体" w:hAnsi="宋体" w:cs="宋体"/>
          <w:snapToGrid w:val="0"/>
          <w:kern w:val="0"/>
          <w:sz w:val="24"/>
          <w:szCs w:val="24"/>
        </w:rPr>
        <w:t>第十条 本安全协议执行过程中，如发生争议，由双方协商解决；若协商不能解决争议的，任何一方均可以向项目所在地人民法院提起诉讼。本协议之外发生的问题，由双方共同协商解</w:t>
      </w:r>
    </w:p>
    <w:p>
      <w:pPr>
        <w:pStyle w:val="4"/>
        <w:jc w:val="center"/>
        <w:rPr>
          <w:rFonts w:ascii="宋体" w:hAnsi="宋体" w:cs="宋体"/>
          <w:szCs w:val="24"/>
        </w:rPr>
      </w:pPr>
      <w:r>
        <w:rPr>
          <w:rFonts w:hint="eastAsia" w:ascii="宋体" w:hAnsi="宋体" w:cs="宋体"/>
          <w:szCs w:val="24"/>
        </w:rPr>
        <w:t>第三节 廉政协议书</w:t>
      </w:r>
    </w:p>
    <w:p>
      <w:pPr>
        <w:spacing w:before="0" w:after="0" w:line="360" w:lineRule="auto"/>
        <w:ind w:firstLine="482"/>
        <w:jc w:val="center"/>
        <w:rPr>
          <w:rFonts w:ascii="宋体" w:hAnsi="宋体" w:cs="宋体"/>
          <w:bCs/>
          <w:snapToGrid w:val="0"/>
          <w:sz w:val="24"/>
          <w:szCs w:val="24"/>
        </w:rPr>
      </w:pPr>
    </w:p>
    <w:p>
      <w:pPr>
        <w:spacing w:line="360" w:lineRule="auto"/>
        <w:jc w:val="center"/>
        <w:rPr>
          <w:rFonts w:ascii="宋体" w:hAnsi="宋体" w:cs="宋体"/>
          <w:b/>
          <w:bCs/>
          <w:sz w:val="24"/>
          <w:szCs w:val="24"/>
        </w:rPr>
      </w:pPr>
      <w:r>
        <w:rPr>
          <w:rFonts w:hint="eastAsia" w:ascii="宋体" w:hAnsi="宋体" w:cs="宋体"/>
          <w:b/>
          <w:bCs/>
          <w:sz w:val="24"/>
          <w:szCs w:val="24"/>
        </w:rPr>
        <w:t>廉洁协议书</w:t>
      </w:r>
    </w:p>
    <w:p>
      <w:pPr>
        <w:pStyle w:val="14"/>
        <w:tabs>
          <w:tab w:val="left" w:pos="0"/>
        </w:tabs>
        <w:spacing w:line="360" w:lineRule="auto"/>
        <w:rPr>
          <w:rFonts w:ascii="宋体" w:hAnsi="宋体" w:eastAsia="宋体" w:cs="宋体"/>
          <w:sz w:val="24"/>
          <w:szCs w:val="24"/>
        </w:rPr>
      </w:pPr>
    </w:p>
    <w:p>
      <w:pPr>
        <w:spacing w:line="360" w:lineRule="auto"/>
        <w:ind w:firstLine="555"/>
        <w:rPr>
          <w:rFonts w:ascii="宋体" w:hAnsi="宋体" w:cs="宋体"/>
          <w:sz w:val="24"/>
          <w:szCs w:val="24"/>
          <w:u w:val="single"/>
        </w:rPr>
      </w:pPr>
      <w:r>
        <w:rPr>
          <w:rFonts w:hint="eastAsia" w:ascii="宋体" w:hAnsi="宋体" w:cs="宋体"/>
          <w:sz w:val="24"/>
          <w:szCs w:val="24"/>
        </w:rPr>
        <w:t>发包人（甲方）：</w:t>
      </w:r>
      <w:r>
        <w:rPr>
          <w:rFonts w:hint="eastAsia" w:ascii="宋体" w:hAnsi="宋体" w:cs="宋体"/>
          <w:sz w:val="24"/>
          <w:szCs w:val="24"/>
          <w:u w:val="single"/>
        </w:rPr>
        <w:t xml:space="preserve">四川省能投攀枝花水电开发有限公司 </w:t>
      </w:r>
    </w:p>
    <w:p>
      <w:pPr>
        <w:spacing w:line="360" w:lineRule="auto"/>
        <w:ind w:firstLine="555"/>
        <w:rPr>
          <w:rFonts w:ascii="宋体" w:hAnsi="宋体" w:cs="宋体"/>
          <w:sz w:val="24"/>
          <w:szCs w:val="24"/>
          <w:u w:val="single"/>
        </w:rPr>
      </w:pPr>
      <w:r>
        <w:rPr>
          <w:rFonts w:hint="eastAsia" w:ascii="宋体" w:hAnsi="宋体" w:cs="宋体"/>
          <w:sz w:val="24"/>
          <w:szCs w:val="24"/>
        </w:rPr>
        <w:t>服务方（乙方）：</w:t>
      </w:r>
      <w:r>
        <w:rPr>
          <w:rFonts w:hint="eastAsia" w:ascii="宋体" w:hAnsi="宋体" w:cs="宋体"/>
          <w:sz w:val="24"/>
          <w:szCs w:val="24"/>
          <w:u w:val="single"/>
        </w:rPr>
        <w:t xml:space="preserve">                                 </w:t>
      </w:r>
    </w:p>
    <w:p>
      <w:pPr>
        <w:spacing w:line="360" w:lineRule="auto"/>
        <w:jc w:val="left"/>
        <w:rPr>
          <w:rFonts w:ascii="宋体" w:hAnsi="宋体" w:cs="宋体"/>
          <w:bCs/>
          <w:sz w:val="24"/>
          <w:szCs w:val="24"/>
          <w:u w:val="single"/>
        </w:rPr>
      </w:pPr>
      <w:r>
        <w:rPr>
          <w:rFonts w:hint="eastAsia" w:ascii="宋体" w:hAnsi="宋体" w:cs="宋体"/>
          <w:sz w:val="24"/>
          <w:szCs w:val="24"/>
        </w:rPr>
        <w:t xml:space="preserve">    工程项目名称：</w:t>
      </w:r>
      <w:r>
        <w:rPr>
          <w:rFonts w:hint="eastAsia" w:ascii="宋体" w:hAnsi="宋体" w:cs="宋体"/>
          <w:bCs/>
          <w:sz w:val="24"/>
          <w:szCs w:val="24"/>
          <w:u w:val="single"/>
          <w:lang w:eastAsia="zh-CN"/>
        </w:rPr>
        <w:t>川能攀枝花公司营地及电厂物业服务</w:t>
      </w:r>
    </w:p>
    <w:p>
      <w:pPr>
        <w:spacing w:line="360" w:lineRule="auto"/>
        <w:ind w:firstLine="555"/>
        <w:rPr>
          <w:rFonts w:ascii="宋体" w:hAnsi="宋体" w:cs="宋体"/>
          <w:sz w:val="24"/>
          <w:szCs w:val="24"/>
        </w:rPr>
      </w:pPr>
      <w:r>
        <w:rPr>
          <w:rFonts w:hint="eastAsia" w:ascii="宋体" w:hAnsi="宋体" w:cs="宋体"/>
          <w:sz w:val="24"/>
          <w:szCs w:val="24"/>
        </w:rPr>
        <w:t>工程项目地点：</w:t>
      </w:r>
      <w:r>
        <w:rPr>
          <w:rFonts w:hint="eastAsia" w:ascii="宋体" w:hAnsi="宋体" w:cs="宋体"/>
          <w:sz w:val="24"/>
          <w:szCs w:val="24"/>
          <w:u w:val="single"/>
        </w:rPr>
        <w:t>四川省攀枝花市西区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为加强工程建设中的廉政建设，规范、约束甲乙双方的行为，防止违法、违纪和不廉洁问题的发生，保护双方合法权益，特订立本协议书。</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一、甲方（含甲方人员）义务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1.不得接受乙方或向乙方索取或以借用为名占用乙方的任何财物；不得接受乙方的礼金、礼品和各种有价证券、支付凭证；不得接受乙方的任何奖金或其他经济利益。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2.不从乙方报销或支付应由本单位或个人承担的费用；不得接受乙方提供的宴请、旅游、健身、娱乐等活动安排；在婚丧喜庆等活动中不邀请乙方人员参加、不接受乙方的财物。</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3.不得利用职务便利向乙方介绍或指定工程分包单位（或个人）、物资供应商；不得利用职务便利向乙方推销或指定使用物资设备等；不得借用、占用乙方车辆。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4.对无法拒绝的乙方及其个人所送的钱物，应在一个月内报告上级纪检监察组织，并及时退还乙方或上缴纪检监察组织。</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5.对乙方提供的有关信息，应及时调查处理并反馈结果。</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二、乙方（含乙方人员）义务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1.不得以任何形式向甲方行贿；不得向甲方送礼金、礼品和各种有价证券、支付凭证；不得向甲方赠送任何奖金或其他经济利益。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2.不得为甲方报销或支付应由其单位或个人承担的费用；不向甲方提供宴请、旅游、健身、娱乐等活动；不参加甲方人员的婚丧喜庆等活动，不向甲方家庭成员及亲属赠送任何礼金、礼品。</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3.不接受甲方介绍或指定的工程分包单位和物资供应商；不接受甲方推销或指定使用的物资设备，不向甲方无偿提供车辆等。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4.对甲方及其个人索要钱物、介绍或指定工程分包单位和物资供应商、推销或指定使用物资设备、借用占用车辆等行为予以拒绝，并及时主动向本单位（本系统）上级纪检监察组织报告。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5.对甲方提供的有关信息，应及时调查处理并反馈结果。</w:t>
      </w:r>
    </w:p>
    <w:p>
      <w:pPr>
        <w:spacing w:line="360" w:lineRule="auto"/>
        <w:ind w:firstLine="476" w:firstLineChars="200"/>
        <w:jc w:val="left"/>
        <w:rPr>
          <w:rFonts w:ascii="宋体" w:hAnsi="宋体" w:cs="宋体"/>
          <w:b/>
          <w:sz w:val="24"/>
          <w:szCs w:val="24"/>
        </w:rPr>
      </w:pPr>
      <w:r>
        <w:rPr>
          <w:rFonts w:hint="eastAsia" w:ascii="宋体" w:hAnsi="宋体" w:cs="宋体"/>
          <w:b/>
          <w:w w:val="99"/>
          <w:sz w:val="24"/>
          <w:szCs w:val="24"/>
        </w:rPr>
        <w:t>三、违约责任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甲乙双方不履行各自义务，构成犯罪和违纪的，由司法机关和有关纪检监察部门按管辖依法依纪处理，所认定的事实和处理结果作为承担下列约定违约责任的依据。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1.乙方不履行其第1项义务，取消乙方6个月投标资格。</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甲方向乙方索贿，甲方向乙方支付违约金100000元（数额由双方约定，以下同），</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乙方主动向甲方行贿，乙方向甲方支付违约金100000元。造成的直接经济损失，由采取主动行为先行违反义务一方承担。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2.甲方向乙方索要或主动要求乙方提供甲方第2项义务所列钱物和活动，向乙方支付违约金50000元；乙方主动向甲方赠送、提供乙方第2项义务所列钱物和活动，向甲方支付违约金 50000元。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3.双方违反协议约定的各自第3项义务，经查证属实的，采取主动行为先行违反义务一方向对方支付违约金50000元。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4.双方不履行协议约定1-3项义务的，应将责任人调离本项目并按规定予以处理。</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四、违约责任追究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1.甲乙双方自觉履行本协议并互相监督，一方不履行不履行协议的，另一方有权利和义务进行举报。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一方主动举报另一方，举报方不承担上述约定的违约责任，全部由被举报方承担，但不免除各自应负的法纪责任。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2.由于双方单位或工作人员个人行为造成违约的，双方单位承担上述约定的违约责任。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3.双方在履行协议中发生争议，一方有权向对方上级单位主管部门和纪检监察部门反映情况并要求帮助解决争议。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4.违约方应在有关部门对不履行协议的行为作出处理或结论后7天内向对方支付违约金。</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五、本协议有效期为双方签署之日起至本工程项目竣工日期止。有效期内发生的违约事实，有效期后发现的适用本协议。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rPr>
        <w:t>六、本协议是项目合同的组成部分，与合同具有同等法律效力。</w:t>
      </w:r>
    </w:p>
    <w:p>
      <w:pPr>
        <w:pStyle w:val="61"/>
        <w:spacing w:line="480" w:lineRule="exact"/>
        <w:ind w:firstLine="0" w:firstLineChars="0"/>
        <w:rPr>
          <w:rFonts w:hAnsi="宋体" w:cs="宋体"/>
          <w:kern w:val="2"/>
          <w:sz w:val="24"/>
          <w:szCs w:val="24"/>
          <w:lang w:val="zh-CN"/>
        </w:rPr>
      </w:pPr>
      <w:r>
        <w:rPr>
          <w:rFonts w:hint="eastAsia" w:hAnsi="宋体" w:cs="宋体"/>
          <w:kern w:val="2"/>
          <w:sz w:val="24"/>
          <w:szCs w:val="24"/>
          <w:lang w:val="zh-CN"/>
        </w:rPr>
        <w:t>（</w:t>
      </w:r>
      <w:r>
        <w:rPr>
          <w:rFonts w:hint="eastAsia" w:hAnsi="宋体" w:cs="宋体"/>
          <w:kern w:val="2"/>
          <w:sz w:val="24"/>
          <w:szCs w:val="24"/>
        </w:rPr>
        <w:t>签署栏</w:t>
      </w:r>
      <w:r>
        <w:rPr>
          <w:rFonts w:hint="eastAsia" w:hAnsi="宋体" w:cs="宋体"/>
          <w:kern w:val="2"/>
          <w:sz w:val="24"/>
          <w:szCs w:val="24"/>
          <w:lang w:val="zh-CN"/>
        </w:rPr>
        <w:t>）</w:t>
      </w:r>
    </w:p>
    <w:tbl>
      <w:tblPr>
        <w:tblStyle w:val="33"/>
        <w:tblW w:w="921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8"/>
        <w:gridCol w:w="4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4548" w:type="dxa"/>
            <w:vAlign w:val="top"/>
          </w:tcPr>
          <w:p>
            <w:pPr>
              <w:pStyle w:val="59"/>
              <w:keepNext/>
              <w:keepLines/>
              <w:snapToGrid w:val="0"/>
              <w:spacing w:before="260" w:after="260" w:line="480" w:lineRule="exact"/>
              <w:rPr>
                <w:rFonts w:ascii="宋体" w:hAnsi="宋体" w:cs="宋体"/>
                <w:sz w:val="24"/>
                <w:szCs w:val="24"/>
              </w:rPr>
            </w:pPr>
            <w:r>
              <w:rPr>
                <w:rFonts w:hint="eastAsia" w:ascii="宋体" w:hAnsi="宋体" w:cs="宋体"/>
                <w:sz w:val="24"/>
                <w:szCs w:val="24"/>
              </w:rPr>
              <w:t>甲方：四川省能投攀枝花水电开发有限公司（公章）</w:t>
            </w:r>
          </w:p>
        </w:tc>
        <w:tc>
          <w:tcPr>
            <w:tcW w:w="4664" w:type="dxa"/>
            <w:vAlign w:val="top"/>
          </w:tcPr>
          <w:p>
            <w:pPr>
              <w:pStyle w:val="59"/>
              <w:keepNext/>
              <w:keepLines/>
              <w:snapToGrid w:val="0"/>
              <w:spacing w:before="260" w:after="260" w:line="480" w:lineRule="exact"/>
              <w:rPr>
                <w:rFonts w:ascii="宋体" w:hAnsi="宋体" w:cs="宋体"/>
                <w:sz w:val="24"/>
                <w:szCs w:val="24"/>
              </w:rPr>
            </w:pPr>
            <w:r>
              <w:rPr>
                <w:rFonts w:hint="eastAsia" w:ascii="宋体" w:hAnsi="宋体" w:cs="宋体"/>
                <w:sz w:val="24"/>
                <w:szCs w:val="24"/>
              </w:rPr>
              <w:t>乙方：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8" w:type="dxa"/>
            <w:vAlign w:val="top"/>
          </w:tcPr>
          <w:p>
            <w:pPr>
              <w:pStyle w:val="59"/>
              <w:snapToGrid w:val="0"/>
              <w:spacing w:line="480" w:lineRule="exact"/>
              <w:rPr>
                <w:rFonts w:ascii="宋体" w:hAnsi="宋体" w:cs="宋体"/>
                <w:sz w:val="24"/>
                <w:szCs w:val="24"/>
              </w:rPr>
            </w:pPr>
            <w:r>
              <w:rPr>
                <w:rFonts w:hint="eastAsia" w:ascii="宋体" w:hAnsi="宋体" w:cs="宋体"/>
                <w:sz w:val="24"/>
                <w:szCs w:val="24"/>
              </w:rPr>
              <w:t>法定代表人（负责人）或</w:t>
            </w:r>
          </w:p>
          <w:p>
            <w:pPr>
              <w:pStyle w:val="59"/>
              <w:snapToGrid w:val="0"/>
              <w:spacing w:line="480" w:lineRule="exact"/>
              <w:rPr>
                <w:rFonts w:ascii="宋体" w:hAnsi="宋体" w:cs="宋体"/>
                <w:sz w:val="24"/>
                <w:szCs w:val="24"/>
              </w:rPr>
            </w:pPr>
            <w:r>
              <w:rPr>
                <w:rFonts w:hint="eastAsia" w:ascii="宋体" w:hAnsi="宋体" w:cs="宋体"/>
                <w:sz w:val="24"/>
                <w:szCs w:val="24"/>
              </w:rPr>
              <w:t>授权代表（签字）：</w:t>
            </w:r>
          </w:p>
        </w:tc>
        <w:tc>
          <w:tcPr>
            <w:tcW w:w="4664" w:type="dxa"/>
            <w:vAlign w:val="top"/>
          </w:tcPr>
          <w:p>
            <w:pPr>
              <w:pStyle w:val="59"/>
              <w:snapToGrid w:val="0"/>
              <w:spacing w:line="480" w:lineRule="exact"/>
              <w:rPr>
                <w:rFonts w:ascii="宋体" w:hAnsi="宋体" w:cs="宋体"/>
                <w:sz w:val="24"/>
                <w:szCs w:val="24"/>
              </w:rPr>
            </w:pPr>
            <w:r>
              <w:rPr>
                <w:rFonts w:hint="eastAsia" w:ascii="宋体" w:hAnsi="宋体" w:cs="宋体"/>
                <w:sz w:val="24"/>
                <w:szCs w:val="24"/>
              </w:rPr>
              <w:t>法定代表人（负责人）或</w:t>
            </w:r>
          </w:p>
          <w:p>
            <w:pPr>
              <w:pStyle w:val="59"/>
              <w:snapToGrid w:val="0"/>
              <w:spacing w:line="480" w:lineRule="exact"/>
              <w:rPr>
                <w:rFonts w:ascii="宋体" w:hAnsi="宋体" w:cs="宋体"/>
                <w:sz w:val="24"/>
                <w:szCs w:val="24"/>
              </w:rPr>
            </w:pPr>
            <w:r>
              <w:rPr>
                <w:rFonts w:hint="eastAsia" w:ascii="宋体" w:hAnsi="宋体" w:cs="宋体"/>
                <w:sz w:val="24"/>
                <w:szCs w:val="24"/>
              </w:rPr>
              <w:t>授权代表（签字）：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4548" w:type="dxa"/>
            <w:vAlign w:val="bottom"/>
          </w:tcPr>
          <w:p>
            <w:pPr>
              <w:pStyle w:val="59"/>
              <w:snapToGrid w:val="0"/>
              <w:spacing w:line="480" w:lineRule="exact"/>
              <w:rPr>
                <w:rFonts w:ascii="宋体" w:hAnsi="宋体" w:cs="宋体"/>
                <w:sz w:val="24"/>
                <w:szCs w:val="24"/>
              </w:rPr>
            </w:pPr>
          </w:p>
          <w:p>
            <w:pPr>
              <w:pStyle w:val="59"/>
              <w:snapToGrid w:val="0"/>
              <w:spacing w:line="480" w:lineRule="exact"/>
              <w:rPr>
                <w:rFonts w:ascii="宋体" w:hAnsi="宋体" w:cs="宋体"/>
                <w:sz w:val="24"/>
                <w:szCs w:val="24"/>
              </w:rPr>
            </w:pPr>
            <w:r>
              <w:rPr>
                <w:rFonts w:hint="eastAsia" w:ascii="宋体" w:hAnsi="宋体" w:cs="宋体"/>
                <w:sz w:val="24"/>
                <w:szCs w:val="24"/>
              </w:rPr>
              <w:t>签订日期：     年   月   日</w:t>
            </w:r>
          </w:p>
        </w:tc>
        <w:tc>
          <w:tcPr>
            <w:tcW w:w="4664" w:type="dxa"/>
            <w:vAlign w:val="bottom"/>
          </w:tcPr>
          <w:p>
            <w:pPr>
              <w:pStyle w:val="59"/>
              <w:snapToGrid w:val="0"/>
              <w:spacing w:line="480" w:lineRule="exact"/>
              <w:rPr>
                <w:rFonts w:ascii="宋体" w:hAnsi="宋体" w:cs="宋体"/>
                <w:sz w:val="24"/>
                <w:szCs w:val="24"/>
              </w:rPr>
            </w:pPr>
            <w:r>
              <w:rPr>
                <w:rFonts w:hint="eastAsia" w:ascii="宋体" w:hAnsi="宋体" w:cs="宋体"/>
                <w:sz w:val="24"/>
                <w:szCs w:val="24"/>
              </w:rPr>
              <w:t>签订日期：      年   月   日</w:t>
            </w:r>
          </w:p>
        </w:tc>
      </w:tr>
    </w:tbl>
    <w:p>
      <w:pPr>
        <w:spacing w:before="0" w:after="0" w:line="360" w:lineRule="auto"/>
        <w:ind w:firstLine="482"/>
        <w:rPr>
          <w:rFonts w:ascii="宋体" w:hAnsi="宋体" w:cs="宋体"/>
          <w:snapToGrid w:val="0"/>
          <w:sz w:val="24"/>
          <w:szCs w:val="24"/>
        </w:rPr>
      </w:pPr>
    </w:p>
    <w:bookmarkEnd w:id="197"/>
    <w:bookmarkEnd w:id="198"/>
    <w:bookmarkEnd w:id="199"/>
    <w:bookmarkEnd w:id="200"/>
    <w:bookmarkEnd w:id="201"/>
    <w:bookmarkEnd w:id="202"/>
    <w:bookmarkEnd w:id="203"/>
    <w:bookmarkEnd w:id="204"/>
    <w:bookmarkEnd w:id="205"/>
    <w:bookmarkEnd w:id="206"/>
    <w:bookmarkEnd w:id="207"/>
    <w:bookmarkEnd w:id="208"/>
    <w:p>
      <w:pPr>
        <w:spacing w:before="0" w:after="0" w:line="360" w:lineRule="auto"/>
        <w:jc w:val="left"/>
        <w:rPr>
          <w:rFonts w:ascii="宋体" w:hAnsi="宋体" w:cs="宋体"/>
          <w:sz w:val="24"/>
          <w:szCs w:val="24"/>
        </w:rPr>
      </w:pPr>
    </w:p>
    <w:p>
      <w:pPr>
        <w:spacing w:before="0" w:after="0" w:line="360" w:lineRule="auto"/>
        <w:jc w:val="left"/>
        <w:rPr>
          <w:rFonts w:ascii="宋体" w:hAnsi="宋体" w:cs="宋体"/>
          <w:sz w:val="24"/>
          <w:szCs w:val="24"/>
        </w:rPr>
      </w:pPr>
    </w:p>
    <w:p>
      <w:pPr>
        <w:spacing w:before="0" w:after="0" w:line="360" w:lineRule="auto"/>
        <w:jc w:val="left"/>
        <w:rPr>
          <w:rFonts w:ascii="宋体" w:hAnsi="宋体" w:cs="宋体"/>
          <w:sz w:val="24"/>
          <w:szCs w:val="24"/>
        </w:rPr>
      </w:pPr>
    </w:p>
    <w:p>
      <w:pPr>
        <w:spacing w:before="0" w:after="0" w:line="360" w:lineRule="auto"/>
        <w:jc w:val="left"/>
        <w:rPr>
          <w:rFonts w:ascii="宋体" w:hAnsi="宋体" w:cs="宋体"/>
          <w:sz w:val="24"/>
          <w:szCs w:val="24"/>
        </w:rPr>
      </w:pPr>
    </w:p>
    <w:p>
      <w:pPr>
        <w:spacing w:before="0" w:after="0" w:line="360" w:lineRule="auto"/>
        <w:jc w:val="left"/>
        <w:rPr>
          <w:rFonts w:ascii="宋体" w:hAnsi="宋体" w:cs="宋体"/>
          <w:sz w:val="24"/>
          <w:szCs w:val="24"/>
        </w:rPr>
      </w:pPr>
    </w:p>
    <w:p>
      <w:pPr>
        <w:pStyle w:val="3"/>
        <w:topLinePunct/>
        <w:spacing w:before="0" w:after="0" w:line="360" w:lineRule="auto"/>
        <w:jc w:val="center"/>
        <w:textAlignment w:val="center"/>
        <w:rPr>
          <w:rFonts w:hint="eastAsia" w:ascii="宋体" w:hAnsi="宋体" w:cs="宋体"/>
          <w:sz w:val="24"/>
          <w:szCs w:val="24"/>
        </w:rPr>
      </w:pPr>
      <w:bookmarkStart w:id="222" w:name="_Toc21261"/>
      <w:bookmarkStart w:id="223" w:name="_Toc31646"/>
      <w:bookmarkStart w:id="224" w:name="_Toc20599"/>
      <w:bookmarkStart w:id="225" w:name="_Toc4907"/>
      <w:bookmarkStart w:id="226" w:name="_Toc12564"/>
      <w:bookmarkStart w:id="227" w:name="_Toc30703"/>
    </w:p>
    <w:p>
      <w:pPr>
        <w:pStyle w:val="3"/>
        <w:topLinePunct/>
        <w:spacing w:before="0" w:after="0" w:line="360" w:lineRule="auto"/>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第五章 发包人要求</w:t>
      </w:r>
      <w:bookmarkEnd w:id="222"/>
      <w:bookmarkEnd w:id="223"/>
      <w:bookmarkEnd w:id="224"/>
      <w:bookmarkEnd w:id="225"/>
    </w:p>
    <w:p>
      <w:pPr>
        <w:tabs>
          <w:tab w:val="left" w:pos="486"/>
        </w:tabs>
        <w:adjustRightInd w:val="0"/>
        <w:snapToGrid w:val="0"/>
        <w:spacing w:before="0" w:after="0" w:line="360" w:lineRule="auto"/>
        <w:ind w:firstLine="480" w:firstLineChars="200"/>
        <w:outlineLvl w:val="1"/>
        <w:rPr>
          <w:rFonts w:ascii="宋体" w:hAnsi="宋体" w:cs="宋体"/>
          <w:bCs/>
          <w:kern w:val="0"/>
          <w:sz w:val="24"/>
          <w:szCs w:val="24"/>
        </w:rPr>
      </w:pPr>
      <w:bookmarkStart w:id="228" w:name="_Toc462145914"/>
      <w:bookmarkStart w:id="229" w:name="_Toc462479732"/>
      <w:bookmarkStart w:id="230" w:name="_Toc462326048"/>
      <w:bookmarkStart w:id="231" w:name="_Toc464077412"/>
      <w:bookmarkStart w:id="232" w:name="_Toc27455"/>
      <w:bookmarkStart w:id="233" w:name="_Toc482883011"/>
      <w:bookmarkStart w:id="234" w:name="_Toc13314"/>
      <w:r>
        <w:rPr>
          <w:rFonts w:hint="eastAsia" w:ascii="宋体" w:hAnsi="宋体" w:cs="宋体"/>
          <w:bCs/>
          <w:kern w:val="0"/>
          <w:sz w:val="24"/>
          <w:szCs w:val="24"/>
        </w:rPr>
        <w:t>1.项目概况</w:t>
      </w:r>
      <w:bookmarkEnd w:id="228"/>
      <w:bookmarkEnd w:id="229"/>
      <w:bookmarkEnd w:id="230"/>
      <w:bookmarkEnd w:id="231"/>
      <w:r>
        <w:rPr>
          <w:rFonts w:hint="eastAsia" w:ascii="宋体" w:hAnsi="宋体" w:cs="宋体"/>
          <w:bCs/>
          <w:kern w:val="0"/>
          <w:sz w:val="24"/>
          <w:szCs w:val="24"/>
        </w:rPr>
        <w:t>及发包人提供的条件</w:t>
      </w:r>
      <w:bookmarkEnd w:id="232"/>
      <w:bookmarkEnd w:id="233"/>
      <w:bookmarkEnd w:id="234"/>
    </w:p>
    <w:p>
      <w:pPr>
        <w:adjustRightInd w:val="0"/>
        <w:snapToGrid w:val="0"/>
        <w:spacing w:before="0" w:after="0" w:line="360" w:lineRule="auto"/>
        <w:ind w:firstLine="480" w:firstLineChars="200"/>
        <w:jc w:val="left"/>
        <w:outlineLvl w:val="2"/>
        <w:rPr>
          <w:rFonts w:ascii="宋体" w:hAnsi="宋体" w:cs="宋体"/>
          <w:sz w:val="24"/>
          <w:szCs w:val="24"/>
        </w:rPr>
      </w:pPr>
      <w:bookmarkStart w:id="235" w:name="_Toc462145915"/>
      <w:bookmarkStart w:id="236" w:name="_Toc13607"/>
      <w:bookmarkStart w:id="237" w:name="_Toc467955699"/>
      <w:bookmarkStart w:id="238" w:name="_Toc482883012"/>
      <w:bookmarkStart w:id="239" w:name="_Toc462326049"/>
      <w:bookmarkStart w:id="240" w:name="_Toc18380"/>
      <w:r>
        <w:rPr>
          <w:rFonts w:hint="eastAsia" w:ascii="宋体" w:hAnsi="宋体" w:cs="宋体"/>
          <w:sz w:val="24"/>
          <w:szCs w:val="24"/>
        </w:rPr>
        <w:t>1.1项目概况</w:t>
      </w:r>
      <w:bookmarkEnd w:id="235"/>
      <w:bookmarkEnd w:id="236"/>
      <w:bookmarkEnd w:id="237"/>
      <w:bookmarkEnd w:id="238"/>
      <w:bookmarkEnd w:id="239"/>
      <w:bookmarkEnd w:id="240"/>
    </w:p>
    <w:p>
      <w:pPr>
        <w:pStyle w:val="18"/>
        <w:spacing w:before="0" w:after="0" w:line="360" w:lineRule="auto"/>
        <w:ind w:firstLine="480"/>
        <w:rPr>
          <w:rFonts w:hAnsi="宋体" w:cs="宋体"/>
          <w:snapToGrid w:val="0"/>
          <w:kern w:val="0"/>
          <w:sz w:val="24"/>
          <w:szCs w:val="24"/>
        </w:rPr>
      </w:pPr>
      <w:r>
        <w:rPr>
          <w:rFonts w:hint="eastAsia" w:hAnsi="宋体" w:cs="宋体"/>
          <w:snapToGrid w:val="0"/>
          <w:kern w:val="0"/>
          <w:sz w:val="24"/>
          <w:szCs w:val="24"/>
        </w:rPr>
        <w:t>项目概况：</w:t>
      </w:r>
    </w:p>
    <w:p>
      <w:pPr>
        <w:pStyle w:val="18"/>
        <w:spacing w:before="0" w:after="0" w:line="360" w:lineRule="auto"/>
        <w:ind w:firstLine="480"/>
        <w:rPr>
          <w:rFonts w:hAnsi="宋体" w:cs="宋体"/>
          <w:snapToGrid w:val="0"/>
          <w:kern w:val="0"/>
          <w:sz w:val="24"/>
          <w:szCs w:val="24"/>
        </w:rPr>
      </w:pPr>
      <w:r>
        <w:rPr>
          <w:rFonts w:hint="eastAsia" w:hAnsi="宋体" w:cs="宋体"/>
          <w:snapToGrid w:val="0"/>
          <w:kern w:val="0"/>
          <w:sz w:val="24"/>
          <w:szCs w:val="24"/>
        </w:rPr>
        <w:t>金沙水电站是金沙江中游十级水电枢纽规划的第九级，位于金沙江中游攀枝花西区河段，上距观音岩水电站坝址28.9km，下距攀枝花市区11km，距银江水电站坝址21.3km。电站最大坝高66m，总库容为1.08亿m³，调节库容1120万m³，具有日调节功能；总装机容量为560MW（4×140MW），多年平均发电量21.77亿kW.h。金沙水电站为国家重大建设项目，同时也是四川省、攀枝花市重点建设项目，由四川省能投攀枝花水电开发有限公司投资开发。</w:t>
      </w:r>
    </w:p>
    <w:p>
      <w:pPr>
        <w:pStyle w:val="18"/>
        <w:spacing w:before="0" w:after="0" w:line="360" w:lineRule="auto"/>
        <w:ind w:firstLine="480" w:firstLineChars="200"/>
        <w:rPr>
          <w:rFonts w:hAnsi="宋体" w:cs="宋体"/>
          <w:snapToGrid w:val="0"/>
          <w:kern w:val="0"/>
          <w:sz w:val="24"/>
          <w:szCs w:val="24"/>
        </w:rPr>
      </w:pPr>
      <w:r>
        <w:rPr>
          <w:rFonts w:hint="eastAsia" w:hAnsi="宋体" w:cs="宋体"/>
          <w:sz w:val="24"/>
          <w:szCs w:val="24"/>
          <w:lang w:val="zh-CN"/>
        </w:rPr>
        <w:t>四川省能投攀枝花水电开发有限公司营地含办公大楼、宿舍楼、接待中心大楼、</w:t>
      </w:r>
      <w:r>
        <w:rPr>
          <w:rFonts w:hint="eastAsia" w:hAnsi="宋体" w:cs="宋体"/>
          <w:sz w:val="24"/>
          <w:szCs w:val="24"/>
          <w:lang w:val="en-US" w:eastAsia="zh-CN"/>
        </w:rPr>
        <w:t>后勤保障楼、门岗、</w:t>
      </w:r>
      <w:r>
        <w:rPr>
          <w:rFonts w:hint="eastAsia" w:hAnsi="宋体" w:cs="宋体"/>
          <w:sz w:val="24"/>
          <w:szCs w:val="24"/>
          <w:lang w:val="zh-CN"/>
        </w:rPr>
        <w:t>地下车库及整个地面公共区域等，建筑面积约</w:t>
      </w:r>
      <w:r>
        <w:rPr>
          <w:rFonts w:hint="eastAsia" w:hAnsi="宋体" w:cs="宋体"/>
          <w:sz w:val="24"/>
          <w:szCs w:val="24"/>
          <w:lang w:val="en-US" w:eastAsia="zh-CN"/>
        </w:rPr>
        <w:t>5.0万</w:t>
      </w:r>
      <w:r>
        <w:rPr>
          <w:rFonts w:hint="eastAsia" w:hAnsi="宋体" w:cs="宋体"/>
          <w:sz w:val="24"/>
          <w:szCs w:val="24"/>
          <w:lang w:val="zh-CN"/>
        </w:rPr>
        <w:t>平米。</w:t>
      </w:r>
      <w:r>
        <w:rPr>
          <w:rFonts w:hint="eastAsia" w:hAnsi="宋体" w:cs="宋体"/>
          <w:sz w:val="24"/>
          <w:szCs w:val="24"/>
        </w:rPr>
        <w:t>金沙水力发电厂</w:t>
      </w:r>
      <w:r>
        <w:rPr>
          <w:rFonts w:hint="eastAsia" w:hAnsi="宋体" w:cs="宋体"/>
          <w:sz w:val="24"/>
          <w:szCs w:val="24"/>
          <w:lang w:val="en-US" w:eastAsia="zh-CN"/>
        </w:rPr>
        <w:t>含门岗、厂区道路、主副厂房及整个厂区地面公共区域</w:t>
      </w:r>
      <w:r>
        <w:rPr>
          <w:rFonts w:hint="eastAsia" w:hAnsi="宋体" w:cs="宋体"/>
          <w:sz w:val="24"/>
          <w:szCs w:val="24"/>
          <w:lang w:eastAsia="zh-CN"/>
        </w:rPr>
        <w:t>，</w:t>
      </w:r>
      <w:r>
        <w:rPr>
          <w:rFonts w:hint="eastAsia" w:hAnsi="宋体" w:cs="宋体"/>
          <w:sz w:val="24"/>
          <w:szCs w:val="24"/>
          <w:lang w:val="en-US" w:eastAsia="zh-CN"/>
        </w:rPr>
        <w:t>建筑面积约1.5万平米。</w:t>
      </w:r>
    </w:p>
    <w:p>
      <w:pPr>
        <w:adjustRightInd w:val="0"/>
        <w:snapToGrid w:val="0"/>
        <w:spacing w:before="0" w:after="0" w:line="360" w:lineRule="auto"/>
        <w:jc w:val="left"/>
        <w:outlineLvl w:val="2"/>
        <w:rPr>
          <w:rFonts w:ascii="宋体" w:hAnsi="宋体" w:cs="宋体"/>
          <w:sz w:val="24"/>
          <w:szCs w:val="24"/>
        </w:rPr>
      </w:pPr>
      <w:bookmarkStart w:id="241" w:name="_Toc21321"/>
      <w:bookmarkStart w:id="242" w:name="_Toc482883013"/>
      <w:bookmarkStart w:id="243" w:name="_Toc19143"/>
      <w:r>
        <w:rPr>
          <w:rFonts w:hint="eastAsia" w:ascii="宋体" w:hAnsi="宋体" w:cs="宋体"/>
          <w:sz w:val="24"/>
          <w:szCs w:val="24"/>
        </w:rPr>
        <w:t>1.2发包人提供的条件</w:t>
      </w:r>
      <w:bookmarkEnd w:id="241"/>
      <w:bookmarkEnd w:id="242"/>
      <w:bookmarkEnd w:id="243"/>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1.2.1现场的用水用电:招标人免费提供，用水用电点双方共同确认。</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1.2.2现场通讯：招标人免费提供对讲机给投标人使用。其他通讯方式均由投标人自行解决，相关费用包含在合同总价中，招标人不再单独支付。</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1.2.3现场办公和仓库用房及场地：招标人免费提供办公用房和仓库用于投标人办公及仓储等,伙食由投标人自行解决，相关费用包含在合同总价中，招标人不再单独支付（招标人可协调在公司食堂就餐或送餐，相关费用按公司食堂标准收取）。</w:t>
      </w:r>
    </w:p>
    <w:p>
      <w:pPr>
        <w:autoSpaceDE w:val="0"/>
        <w:spacing w:before="0" w:after="0" w:line="360" w:lineRule="auto"/>
        <w:ind w:firstLine="480" w:firstLineChars="200"/>
        <w:outlineLvl w:val="1"/>
        <w:rPr>
          <w:rFonts w:ascii="宋体" w:hAnsi="宋体" w:cs="宋体"/>
          <w:snapToGrid w:val="0"/>
          <w:kern w:val="0"/>
          <w:sz w:val="24"/>
          <w:szCs w:val="24"/>
        </w:rPr>
      </w:pPr>
      <w:bookmarkStart w:id="244" w:name="_Toc25379"/>
      <w:bookmarkStart w:id="245" w:name="_Toc24927"/>
      <w:bookmarkStart w:id="246" w:name="_Toc482883014"/>
      <w:r>
        <w:rPr>
          <w:rFonts w:hint="eastAsia" w:ascii="宋体" w:hAnsi="宋体" w:cs="宋体"/>
          <w:snapToGrid w:val="0"/>
          <w:kern w:val="0"/>
          <w:sz w:val="24"/>
          <w:szCs w:val="24"/>
        </w:rPr>
        <w:t>2招标范围及内容</w:t>
      </w:r>
    </w:p>
    <w:p>
      <w:pPr>
        <w:autoSpaceDE w:val="0"/>
        <w:spacing w:before="0" w:after="0" w:line="360" w:lineRule="auto"/>
        <w:ind w:firstLine="480" w:firstLineChars="200"/>
        <w:outlineLvl w:val="2"/>
        <w:rPr>
          <w:rFonts w:ascii="宋体" w:hAnsi="宋体" w:cs="宋体"/>
          <w:snapToGrid w:val="0"/>
          <w:kern w:val="0"/>
          <w:sz w:val="24"/>
          <w:szCs w:val="24"/>
        </w:rPr>
      </w:pPr>
      <w:r>
        <w:rPr>
          <w:rFonts w:hint="eastAsia" w:ascii="宋体" w:hAnsi="宋体" w:cs="宋体"/>
          <w:snapToGrid w:val="0"/>
          <w:kern w:val="0"/>
          <w:sz w:val="24"/>
          <w:szCs w:val="24"/>
        </w:rPr>
        <w:t>2.1招标范围</w:t>
      </w:r>
    </w:p>
    <w:p>
      <w:pPr>
        <w:autoSpaceDE w:val="0"/>
        <w:spacing w:before="0" w:after="0" w:line="360" w:lineRule="auto"/>
        <w:ind w:firstLine="480" w:firstLineChars="200"/>
        <w:outlineLvl w:val="2"/>
        <w:rPr>
          <w:rFonts w:ascii="宋体" w:hAnsi="宋体" w:cs="宋体"/>
          <w:snapToGrid w:val="0"/>
          <w:kern w:val="0"/>
          <w:sz w:val="24"/>
          <w:szCs w:val="24"/>
        </w:rPr>
      </w:pPr>
      <w:r>
        <w:rPr>
          <w:rFonts w:hint="eastAsia" w:ascii="宋体" w:hAnsi="宋体" w:cs="宋体"/>
          <w:snapToGrid w:val="0"/>
          <w:kern w:val="0"/>
          <w:sz w:val="24"/>
          <w:szCs w:val="24"/>
        </w:rPr>
        <w:t>2.1.1金沙水电站：</w:t>
      </w:r>
    </w:p>
    <w:p>
      <w:pPr>
        <w:spacing w:line="360" w:lineRule="auto"/>
        <w:ind w:firstLine="420"/>
        <w:rPr>
          <w:rFonts w:ascii="宋体" w:hAnsi="宋体" w:cs="宋体"/>
          <w:sz w:val="24"/>
          <w:szCs w:val="24"/>
        </w:rPr>
      </w:pPr>
      <w:r>
        <w:rPr>
          <w:rFonts w:hint="eastAsia" w:ascii="宋体" w:hAnsi="宋体" w:cs="宋体"/>
          <w:sz w:val="24"/>
          <w:szCs w:val="24"/>
        </w:rPr>
        <w:t>2.1.1.1保卫：维护金沙水力发电厂正常生产秩序，在7#公路、35KV配电站适当位置设置门岗，配置保卫值班及巡逻人员1</w:t>
      </w:r>
      <w:r>
        <w:rPr>
          <w:rFonts w:hint="eastAsia" w:ascii="宋体" w:hAnsi="宋体" w:cs="宋体"/>
          <w:sz w:val="24"/>
          <w:szCs w:val="24"/>
          <w:lang w:val="en-US" w:eastAsia="zh-CN"/>
        </w:rPr>
        <w:t>1</w:t>
      </w:r>
      <w:r>
        <w:rPr>
          <w:rFonts w:hint="eastAsia" w:ascii="宋体" w:hAnsi="宋体" w:cs="宋体"/>
          <w:sz w:val="24"/>
          <w:szCs w:val="24"/>
        </w:rPr>
        <w:t>人，24小时有人值守。承担安保、维稳事件的应急处置及属地公安部门的协调工作；参加电厂组织的消防培训、应急演练及紧急事件的应急救援工作。</w:t>
      </w:r>
    </w:p>
    <w:p>
      <w:pPr>
        <w:spacing w:line="360" w:lineRule="auto"/>
        <w:ind w:firstLine="420"/>
        <w:rPr>
          <w:rFonts w:ascii="宋体" w:hAnsi="宋体" w:cs="宋体"/>
          <w:sz w:val="24"/>
          <w:szCs w:val="24"/>
        </w:rPr>
      </w:pPr>
      <w:r>
        <w:rPr>
          <w:rFonts w:hint="eastAsia" w:ascii="宋体" w:hAnsi="宋体" w:cs="宋体"/>
          <w:sz w:val="24"/>
          <w:szCs w:val="24"/>
        </w:rPr>
        <w:t>2.1.1.2保洁：</w:t>
      </w:r>
      <w:r>
        <w:rPr>
          <w:rFonts w:hint="eastAsia" w:ascii="宋体" w:hAnsi="宋体" w:cs="宋体"/>
          <w:sz w:val="24"/>
          <w:szCs w:val="24"/>
          <w:lang w:val="en-US" w:eastAsia="zh-CN"/>
        </w:rPr>
        <w:t>主副厂房</w:t>
      </w:r>
      <w:r>
        <w:rPr>
          <w:rFonts w:hint="eastAsia" w:ascii="宋体" w:hAnsi="宋体" w:cs="宋体"/>
          <w:sz w:val="24"/>
          <w:szCs w:val="24"/>
        </w:rPr>
        <w:t>办公区域、进厂公路、1021平台、1027平台等区域环境干净整洁，需配置保洁人员每日清扫卫生。随生产设备及办公区域移交电厂时间节点，逐步配置到位保洁人员</w:t>
      </w:r>
      <w:r>
        <w:rPr>
          <w:rFonts w:hint="eastAsia" w:ascii="宋体" w:hAnsi="宋体" w:cs="宋体"/>
          <w:sz w:val="24"/>
          <w:szCs w:val="24"/>
          <w:lang w:val="en-US" w:eastAsia="zh-CN"/>
        </w:rPr>
        <w:t>8</w:t>
      </w:r>
      <w:r>
        <w:rPr>
          <w:rFonts w:hint="eastAsia" w:ascii="宋体" w:hAnsi="宋体" w:cs="宋体"/>
          <w:sz w:val="24"/>
          <w:szCs w:val="24"/>
        </w:rPr>
        <w:t>人。</w:t>
      </w:r>
    </w:p>
    <w:p>
      <w:pPr>
        <w:autoSpaceDE w:val="0"/>
        <w:spacing w:before="0" w:after="0"/>
        <w:outlineLvl w:val="2"/>
        <w:rPr>
          <w:rFonts w:ascii="宋体" w:hAnsi="宋体" w:cs="宋体"/>
          <w:snapToGrid w:val="0"/>
          <w:kern w:val="0"/>
          <w:sz w:val="24"/>
          <w:szCs w:val="24"/>
        </w:rPr>
      </w:pPr>
      <w:r>
        <w:rPr>
          <w:rFonts w:hint="eastAsia" w:ascii="宋体" w:hAnsi="宋体" w:cs="宋体"/>
          <w:snapToGrid w:val="0"/>
          <w:kern w:val="0"/>
          <w:sz w:val="24"/>
          <w:szCs w:val="24"/>
        </w:rPr>
        <w:t xml:space="preserve">2.1.2 </w:t>
      </w:r>
      <w:r>
        <w:rPr>
          <w:rFonts w:hint="eastAsia" w:ascii="宋体" w:hAnsi="宋体" w:cs="宋体"/>
          <w:snapToGrid w:val="0"/>
          <w:kern w:val="0"/>
          <w:sz w:val="24"/>
          <w:szCs w:val="24"/>
          <w:lang w:eastAsia="zh-CN"/>
        </w:rPr>
        <w:t>公司营地</w:t>
      </w:r>
      <w:r>
        <w:rPr>
          <w:rFonts w:hint="eastAsia" w:ascii="宋体" w:hAnsi="宋体" w:cs="宋体"/>
          <w:snapToGrid w:val="0"/>
          <w:kern w:val="0"/>
          <w:sz w:val="24"/>
          <w:szCs w:val="24"/>
        </w:rPr>
        <w:t>：</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2.1.2.1保卫：维护营地大门口及营区内安全秩序维护，配置保卫值班及巡逻人员9人，分为白班、夜班，24小时有人值守。承担营地消防、停车场管理。</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2.1.2.2保洁：营地公共区域卫生清扫和垃圾收集，办公室、接待中心室内保洁服务，配置保洁主管1人，保洁人员10人，合计11人。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2.1.2.3客服：营地会务服务工作，接待中心客房和茶房服务工作，餐宴接待服务工作，配置客服主管1人，客服人员6人，合计7人。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2.2.4图书管理员：负责营地职工书屋日常管理，配置1人，由客服统一管理。</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2.1.2.5工程：营地房屋建筑的本体、公共部分的维护管理，中央空调系统、监控系统、消防系统、太阳能系统、空气能系统、照明系统、给排水系统等营地设备设施的日常运行和维护管理，联系并协助特种设备的专业外协单位进行维护和检修，工程、设备的定期巡检，配置工程主管1人，工程人员2人，合计3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2.1.2.6食堂：负责</w:t>
      </w:r>
      <w:r>
        <w:rPr>
          <w:rFonts w:hint="eastAsia" w:ascii="宋体" w:hAnsi="宋体" w:cs="宋体"/>
          <w:color w:val="000000"/>
          <w:sz w:val="24"/>
          <w:szCs w:val="24"/>
          <w:lang w:eastAsia="zh-CN"/>
        </w:rPr>
        <w:t>公司营地</w:t>
      </w:r>
      <w:r>
        <w:rPr>
          <w:rFonts w:hint="eastAsia" w:ascii="宋体" w:hAnsi="宋体" w:cs="宋体"/>
          <w:color w:val="000000"/>
          <w:sz w:val="24"/>
          <w:szCs w:val="24"/>
        </w:rPr>
        <w:t>员工食堂运营管理和对外接待工作，配置厨师长1人，采购1人，红案厨师2人，白案厨师2人，墩子1人，食堂保洁3人，合计10人。</w:t>
      </w:r>
    </w:p>
    <w:p>
      <w:pPr>
        <w:adjustRightInd w:val="0"/>
        <w:snapToGrid w:val="0"/>
        <w:spacing w:line="560" w:lineRule="exact"/>
        <w:ind w:firstLine="480" w:firstLineChars="200"/>
        <w:rPr>
          <w:rFonts w:ascii="宋体" w:hAnsi="宋体" w:cs="宋体"/>
          <w:color w:val="000000"/>
          <w:sz w:val="24"/>
          <w:szCs w:val="24"/>
        </w:rPr>
      </w:pPr>
      <w:r>
        <w:rPr>
          <w:rFonts w:hint="eastAsia" w:ascii="宋体" w:hAnsi="宋体" w:cs="宋体"/>
          <w:color w:val="000000"/>
          <w:sz w:val="24"/>
          <w:szCs w:val="24"/>
        </w:rPr>
        <w:t>★（提供承诺函）所有工作人员均需持有效《健康证》，供应商承诺中标后优先接收采购人原有服务人员，并保障其原有待遇。若供应商准备更换原有服务人员，需经采购人同意后方可更换，若在岗服务人员不符合采购人要求（身体健康、服务意识等），采购人可要求更换，供应商应在采购人规定的时间内完成人员更换直至满足采购人需求。</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2.1.2.7绿化：</w:t>
      </w:r>
      <w:r>
        <w:rPr>
          <w:rFonts w:hint="eastAsia" w:ascii="宋体" w:hAnsi="宋体" w:cs="宋体"/>
          <w:color w:val="000000"/>
          <w:sz w:val="24"/>
          <w:szCs w:val="24"/>
          <w:lang w:val="en-US" w:eastAsia="zh-CN"/>
        </w:rPr>
        <w:t>电厂厂区、</w:t>
      </w:r>
      <w:r>
        <w:rPr>
          <w:rFonts w:hint="eastAsia" w:ascii="宋体" w:hAnsi="宋体" w:cs="宋体"/>
          <w:color w:val="000000"/>
          <w:sz w:val="24"/>
          <w:szCs w:val="24"/>
        </w:rPr>
        <w:t>营</w:t>
      </w:r>
      <w:r>
        <w:rPr>
          <w:rFonts w:hint="eastAsia" w:ascii="宋体" w:hAnsi="宋体" w:cs="宋体"/>
          <w:color w:val="000000"/>
          <w:sz w:val="24"/>
          <w:szCs w:val="24"/>
          <w:lang w:val="en-US" w:eastAsia="zh-CN"/>
        </w:rPr>
        <w:t>地</w:t>
      </w:r>
      <w:r>
        <w:rPr>
          <w:rFonts w:hint="eastAsia" w:ascii="宋体" w:hAnsi="宋体" w:cs="宋体"/>
          <w:color w:val="000000"/>
          <w:sz w:val="24"/>
          <w:szCs w:val="24"/>
        </w:rPr>
        <w:t>内</w:t>
      </w:r>
      <w:r>
        <w:rPr>
          <w:rFonts w:hint="eastAsia" w:ascii="宋体" w:hAnsi="宋体" w:cs="宋体"/>
          <w:color w:val="000000"/>
          <w:sz w:val="24"/>
          <w:szCs w:val="24"/>
          <w:lang w:val="en-US" w:eastAsia="zh-CN"/>
        </w:rPr>
        <w:t>公共区域内</w:t>
      </w:r>
      <w:r>
        <w:rPr>
          <w:rFonts w:hint="eastAsia" w:ascii="宋体" w:hAnsi="宋体" w:cs="宋体"/>
          <w:color w:val="000000"/>
          <w:sz w:val="24"/>
          <w:szCs w:val="24"/>
        </w:rPr>
        <w:t>园林绿化的管理维护，配置绿化主管1人，绿化工2人，合计3人。</w:t>
      </w:r>
    </w:p>
    <w:p>
      <w:pPr>
        <w:pStyle w:val="78"/>
        <w:spacing w:before="0" w:after="0" w:line="360" w:lineRule="auto"/>
        <w:ind w:firstLine="480"/>
        <w:rPr>
          <w:rFonts w:ascii="宋体" w:hAnsi="宋体" w:cs="宋体"/>
          <w:color w:val="000000"/>
          <w:sz w:val="24"/>
          <w:szCs w:val="24"/>
        </w:rPr>
      </w:pPr>
      <w:r>
        <w:rPr>
          <w:rFonts w:hint="eastAsia" w:ascii="宋体" w:hAnsi="宋体" w:cs="宋体"/>
          <w:color w:val="000000"/>
          <w:sz w:val="24"/>
          <w:szCs w:val="24"/>
        </w:rPr>
        <w:t>2.1.2.8营地管理：负责营地的日常管理工作，负责与公司的工作对接，配置项目经理1人，项目助理</w:t>
      </w:r>
      <w:r>
        <w:rPr>
          <w:rFonts w:hint="eastAsia" w:ascii="宋体" w:hAnsi="宋体" w:cs="宋体"/>
          <w:color w:val="000000"/>
          <w:sz w:val="24"/>
          <w:szCs w:val="24"/>
          <w:lang w:val="en-US" w:eastAsia="zh-CN"/>
        </w:rPr>
        <w:t>2</w:t>
      </w:r>
      <w:r>
        <w:rPr>
          <w:rFonts w:hint="eastAsia" w:ascii="宋体" w:hAnsi="宋体" w:cs="宋体"/>
          <w:color w:val="000000"/>
          <w:sz w:val="24"/>
          <w:szCs w:val="24"/>
        </w:rPr>
        <w:t>人，内勤1人，合计</w:t>
      </w:r>
      <w:r>
        <w:rPr>
          <w:rFonts w:hint="eastAsia" w:ascii="宋体" w:hAnsi="宋体" w:cs="宋体"/>
          <w:color w:val="000000"/>
          <w:sz w:val="24"/>
          <w:szCs w:val="24"/>
          <w:lang w:val="en-US" w:eastAsia="zh-CN"/>
        </w:rPr>
        <w:t>4</w:t>
      </w:r>
      <w:r>
        <w:rPr>
          <w:rFonts w:hint="eastAsia" w:ascii="宋体" w:hAnsi="宋体" w:cs="宋体"/>
          <w:color w:val="000000"/>
          <w:sz w:val="24"/>
          <w:szCs w:val="24"/>
        </w:rPr>
        <w:t>人。</w:t>
      </w:r>
    </w:p>
    <w:p>
      <w:pPr>
        <w:autoSpaceDE w:val="0"/>
        <w:spacing w:before="0" w:after="0" w:line="360" w:lineRule="auto"/>
        <w:outlineLvl w:val="2"/>
        <w:rPr>
          <w:rFonts w:ascii="宋体" w:hAnsi="宋体" w:cs="宋体"/>
          <w:snapToGrid w:val="0"/>
          <w:kern w:val="0"/>
          <w:sz w:val="24"/>
          <w:szCs w:val="24"/>
        </w:rPr>
      </w:pPr>
      <w:r>
        <w:rPr>
          <w:rFonts w:hint="eastAsia" w:ascii="宋体" w:hAnsi="宋体" w:cs="宋体"/>
          <w:snapToGrid w:val="0"/>
          <w:kern w:val="0"/>
          <w:sz w:val="24"/>
          <w:szCs w:val="24"/>
        </w:rPr>
        <w:t>2.2服务地点</w:t>
      </w:r>
    </w:p>
    <w:p>
      <w:pPr>
        <w:autoSpaceDE w:val="0"/>
        <w:spacing w:before="0" w:after="0" w:line="360" w:lineRule="auto"/>
        <w:outlineLvl w:val="2"/>
        <w:rPr>
          <w:rFonts w:hint="eastAsia" w:ascii="宋体" w:hAnsi="宋体" w:eastAsia="宋体" w:cs="宋体"/>
          <w:bCs/>
          <w:sz w:val="24"/>
          <w:szCs w:val="24"/>
          <w:lang w:eastAsia="zh-CN"/>
        </w:rPr>
      </w:pPr>
      <w:r>
        <w:rPr>
          <w:rFonts w:hint="eastAsia" w:ascii="宋体" w:hAnsi="宋体" w:cs="宋体"/>
          <w:bCs/>
          <w:snapToGrid w:val="0"/>
          <w:kern w:val="0"/>
          <w:sz w:val="24"/>
          <w:szCs w:val="24"/>
        </w:rPr>
        <w:t>金沙水电站及</w:t>
      </w:r>
      <w:r>
        <w:rPr>
          <w:rFonts w:hint="eastAsia" w:ascii="宋体" w:hAnsi="宋体" w:cs="宋体"/>
          <w:bCs/>
          <w:snapToGrid w:val="0"/>
          <w:kern w:val="0"/>
          <w:sz w:val="24"/>
          <w:szCs w:val="24"/>
          <w:lang w:val="en-US" w:eastAsia="zh-CN"/>
        </w:rPr>
        <w:t>川能攀枝花</w:t>
      </w:r>
      <w:r>
        <w:rPr>
          <w:rFonts w:hint="eastAsia" w:ascii="宋体" w:hAnsi="宋体" w:cs="宋体"/>
          <w:bCs/>
          <w:snapToGrid w:val="0"/>
          <w:kern w:val="0"/>
          <w:sz w:val="24"/>
          <w:szCs w:val="24"/>
          <w:lang w:eastAsia="zh-CN"/>
        </w:rPr>
        <w:t>公司营地</w:t>
      </w:r>
    </w:p>
    <w:p>
      <w:pPr>
        <w:autoSpaceDE w:val="0"/>
        <w:spacing w:before="0" w:after="0" w:line="360" w:lineRule="auto"/>
        <w:outlineLvl w:val="2"/>
        <w:rPr>
          <w:rFonts w:ascii="宋体" w:hAnsi="宋体" w:cs="宋体"/>
          <w:snapToGrid w:val="0"/>
          <w:kern w:val="0"/>
          <w:sz w:val="24"/>
          <w:szCs w:val="24"/>
        </w:rPr>
      </w:pPr>
      <w:r>
        <w:rPr>
          <w:rFonts w:hint="eastAsia" w:ascii="宋体" w:hAnsi="宋体" w:cs="宋体"/>
          <w:snapToGrid w:val="0"/>
          <w:kern w:val="0"/>
          <w:sz w:val="24"/>
          <w:szCs w:val="24"/>
        </w:rPr>
        <w:t>2.3服务内容</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2.3.1保卫服务主要工作内容：</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（1）电厂门卫值守，外来人员、车辆出入登记，物资出入登记。</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（2）电厂周边巡逻（包括白天和夜间），保护单位职工人身安全和单位设备物资安全，处理该区域应急突发事件。</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（3）积极配合公安机关调查和侦破服务区域内发生的各类案件。</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（4）积极开展治安检查和消防检查。</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（5）门岗视频监控、值班、记录、报告。</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（6）每年至少组织一次安全演练。</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（7）参加电厂组织的消防培训、应急演练及紧急事件的应急救援工作。</w:t>
      </w:r>
    </w:p>
    <w:p>
      <w:pPr>
        <w:autoSpaceDE w:val="0"/>
        <w:spacing w:before="0" w:after="0" w:line="360" w:lineRule="auto"/>
        <w:ind w:firstLine="480" w:firstLineChars="200"/>
        <w:rPr>
          <w:rFonts w:ascii="宋体" w:hAnsi="宋体" w:cs="宋体"/>
          <w:sz w:val="24"/>
          <w:szCs w:val="24"/>
        </w:rPr>
      </w:pPr>
      <w:r>
        <w:rPr>
          <w:rFonts w:hint="eastAsia" w:ascii="宋体" w:hAnsi="宋体" w:cs="宋体"/>
          <w:snapToGrid w:val="0"/>
          <w:kern w:val="0"/>
          <w:sz w:val="24"/>
          <w:szCs w:val="24"/>
        </w:rPr>
        <w:t>（8）其他临时性指派工作。</w:t>
      </w:r>
    </w:p>
    <w:p>
      <w:pPr>
        <w:autoSpaceDE w:val="0"/>
        <w:spacing w:before="0" w:after="0" w:line="360" w:lineRule="auto"/>
        <w:rPr>
          <w:rFonts w:ascii="宋体" w:hAnsi="宋体" w:cs="宋体"/>
          <w:sz w:val="24"/>
          <w:szCs w:val="24"/>
        </w:rPr>
      </w:pPr>
      <w:r>
        <w:rPr>
          <w:rFonts w:hint="eastAsia" w:ascii="宋体" w:hAnsi="宋体" w:cs="宋体"/>
          <w:snapToGrid w:val="0"/>
          <w:kern w:val="0"/>
          <w:sz w:val="24"/>
          <w:szCs w:val="24"/>
        </w:rPr>
        <w:t xml:space="preserve">    2.3.2本</w:t>
      </w:r>
      <w:r>
        <w:rPr>
          <w:rFonts w:hint="eastAsia" w:ascii="宋体" w:hAnsi="宋体" w:cs="宋体"/>
          <w:sz w:val="24"/>
          <w:szCs w:val="24"/>
        </w:rPr>
        <w:t>保洁服务主要工作内容：</w:t>
      </w:r>
    </w:p>
    <w:p>
      <w:pPr>
        <w:widowControl w:val="0"/>
        <w:numPr>
          <w:ilvl w:val="0"/>
          <w:numId w:val="2"/>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厂区道路</w:t>
      </w:r>
      <w:r>
        <w:rPr>
          <w:rFonts w:hint="eastAsia" w:ascii="宋体" w:hAnsi="宋体" w:cs="宋体"/>
          <w:sz w:val="24"/>
          <w:szCs w:val="24"/>
          <w:lang w:val="en-US" w:eastAsia="zh-CN"/>
        </w:rPr>
        <w:t>及公共区域</w:t>
      </w:r>
      <w:r>
        <w:rPr>
          <w:rFonts w:hint="eastAsia" w:ascii="宋体" w:hAnsi="宋体" w:cs="宋体"/>
          <w:sz w:val="24"/>
          <w:szCs w:val="24"/>
        </w:rPr>
        <w:t>清扫保洁。</w:t>
      </w:r>
    </w:p>
    <w:p>
      <w:pPr>
        <w:widowControl w:val="0"/>
        <w:numPr>
          <w:ilvl w:val="0"/>
          <w:numId w:val="2"/>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绿化区、预绿化区域内清洁。</w:t>
      </w:r>
    </w:p>
    <w:p>
      <w:pPr>
        <w:widowControl w:val="0"/>
        <w:numPr>
          <w:ilvl w:val="0"/>
          <w:numId w:val="2"/>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保持办公楼室内清洁，门窗及玻璃完整明亮。</w:t>
      </w:r>
    </w:p>
    <w:p>
      <w:pPr>
        <w:widowControl w:val="0"/>
        <w:numPr>
          <w:ilvl w:val="0"/>
          <w:numId w:val="2"/>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电梯</w:t>
      </w:r>
      <w:r>
        <w:rPr>
          <w:rFonts w:hint="eastAsia" w:ascii="宋体" w:hAnsi="宋体" w:cs="宋体"/>
          <w:sz w:val="24"/>
          <w:szCs w:val="24"/>
          <w:lang w:val="en-US" w:eastAsia="zh-CN"/>
        </w:rPr>
        <w:t>内</w:t>
      </w:r>
      <w:r>
        <w:rPr>
          <w:rFonts w:hint="eastAsia" w:ascii="宋体" w:hAnsi="宋体" w:cs="宋体"/>
          <w:sz w:val="24"/>
          <w:szCs w:val="24"/>
        </w:rPr>
        <w:t>的清洁。</w:t>
      </w:r>
    </w:p>
    <w:p>
      <w:pPr>
        <w:widowControl w:val="0"/>
        <w:numPr>
          <w:ilvl w:val="0"/>
          <w:numId w:val="2"/>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指定的非生产设备整体整洁清洁。</w:t>
      </w:r>
    </w:p>
    <w:p>
      <w:pPr>
        <w:widowControl w:val="0"/>
        <w:numPr>
          <w:ilvl w:val="0"/>
          <w:numId w:val="2"/>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指定的非生产各种标识牌清洁。</w:t>
      </w:r>
    </w:p>
    <w:p>
      <w:pPr>
        <w:widowControl w:val="0"/>
        <w:numPr>
          <w:ilvl w:val="0"/>
          <w:numId w:val="2"/>
        </w:numPr>
        <w:adjustRightInd w:val="0"/>
        <w:snapToGrid w:val="0"/>
        <w:spacing w:line="360" w:lineRule="auto"/>
        <w:ind w:firstLine="480" w:firstLineChars="200"/>
        <w:rPr>
          <w:rFonts w:ascii="宋体" w:hAnsi="宋体" w:cs="宋体"/>
          <w:sz w:val="24"/>
          <w:szCs w:val="24"/>
        </w:rPr>
      </w:pPr>
      <w:r>
        <w:rPr>
          <w:rFonts w:hint="eastAsia" w:ascii="宋体" w:hAnsi="宋体" w:cs="宋体"/>
          <w:color w:val="000000"/>
          <w:kern w:val="0"/>
          <w:sz w:val="24"/>
          <w:szCs w:val="24"/>
        </w:rPr>
        <w:t>卫生间清洁。</w:t>
      </w:r>
    </w:p>
    <w:p>
      <w:pPr>
        <w:widowControl w:val="0"/>
        <w:numPr>
          <w:ilvl w:val="0"/>
          <w:numId w:val="2"/>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非生产设备区域清洁。</w:t>
      </w:r>
    </w:p>
    <w:p>
      <w:pPr>
        <w:widowControl w:val="0"/>
        <w:numPr>
          <w:ilvl w:val="0"/>
          <w:numId w:val="2"/>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义务协助招标人完成达标、安评、设备评级、创优及其它迎检等工作。</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2.3.3临时用工服务主要工作内容：</w:t>
      </w:r>
    </w:p>
    <w:p>
      <w:pPr>
        <w:widowControl w:val="0"/>
        <w:numPr>
          <w:ilvl w:val="0"/>
          <w:numId w:val="3"/>
        </w:numPr>
        <w:adjustRightInd w:val="0"/>
        <w:snapToGrid w:val="0"/>
        <w:spacing w:line="360" w:lineRule="auto"/>
        <w:ind w:left="420" w:leftChars="200"/>
        <w:jc w:val="left"/>
        <w:rPr>
          <w:rFonts w:ascii="宋体" w:hAnsi="宋体" w:cs="宋体"/>
          <w:sz w:val="24"/>
          <w:szCs w:val="24"/>
        </w:rPr>
      </w:pPr>
      <w:r>
        <w:rPr>
          <w:rFonts w:hint="eastAsia" w:ascii="宋体" w:hAnsi="宋体" w:cs="宋体"/>
          <w:sz w:val="24"/>
          <w:szCs w:val="24"/>
        </w:rPr>
        <w:t>临时用工人员依据招标人指派的临时性工作。</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2.3.4客服服务主要工作内容：</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（1）进行会务服务工作，包括会议前后整理环境、会议之中送水及清洁等工作。为保证会议机密，在会议前管理处要了解该会议的保密程度，以便决定如何参与会议的服务。</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2.3.5工程服务主要工作内容：</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（1）负责办公大楼的用电、用水安全，保证达到国家相应标准。</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（2）配电房、太阳能、空气能机房每日定时巡视两次。</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（3）弱电机房、风机房、消防水泵房、强弱电井、柴油发电机房每日定时巡视一次。</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（4）中央空调运行期间每两小时巡视一次机房，未运行期间每日巡视一次机房。</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2.3.6食堂服务主要工作内容：</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（1）负责</w:t>
      </w:r>
      <w:r>
        <w:rPr>
          <w:rFonts w:hint="eastAsia" w:ascii="宋体" w:hAnsi="宋体" w:cs="宋体"/>
          <w:snapToGrid w:val="0"/>
          <w:kern w:val="0"/>
          <w:sz w:val="24"/>
          <w:szCs w:val="24"/>
          <w:lang w:eastAsia="zh-CN"/>
        </w:rPr>
        <w:t>公司营地</w:t>
      </w:r>
      <w:r>
        <w:rPr>
          <w:rFonts w:hint="eastAsia" w:ascii="宋体" w:hAnsi="宋体" w:cs="宋体"/>
          <w:snapToGrid w:val="0"/>
          <w:kern w:val="0"/>
          <w:sz w:val="24"/>
          <w:szCs w:val="24"/>
        </w:rPr>
        <w:t>员工食堂运营管理和对外接待工作。</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2.3.7绿化服务主要工作内容：</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（1）营区内园林绿化的管理维护。</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（2）营地内果树的养殖及水果的采摘。</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2.3.8管理主要工作内容：</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（1）负责营地的日常管理工作。</w:t>
      </w:r>
    </w:p>
    <w:p>
      <w:pPr>
        <w:autoSpaceDE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（2）负责与</w:t>
      </w:r>
      <w:r>
        <w:rPr>
          <w:rFonts w:hint="eastAsia" w:ascii="宋体" w:hAnsi="宋体" w:cs="宋体"/>
          <w:snapToGrid w:val="0"/>
          <w:kern w:val="0"/>
          <w:sz w:val="24"/>
          <w:szCs w:val="24"/>
          <w:lang w:eastAsia="zh-CN"/>
        </w:rPr>
        <w:t>川能攀枝花公司</w:t>
      </w:r>
      <w:r>
        <w:rPr>
          <w:rFonts w:hint="eastAsia" w:ascii="宋体" w:hAnsi="宋体" w:cs="宋体"/>
          <w:snapToGrid w:val="0"/>
          <w:kern w:val="0"/>
          <w:sz w:val="24"/>
          <w:szCs w:val="24"/>
        </w:rPr>
        <w:t>的工作对接。</w:t>
      </w:r>
    </w:p>
    <w:p>
      <w:pPr>
        <w:autoSpaceDE w:val="0"/>
        <w:spacing w:before="0" w:after="0" w:line="360" w:lineRule="auto"/>
        <w:ind w:firstLine="480" w:firstLineChars="200"/>
        <w:jc w:val="left"/>
        <w:outlineLvl w:val="2"/>
        <w:rPr>
          <w:rFonts w:ascii="宋体" w:hAnsi="宋体" w:cs="宋体"/>
          <w:snapToGrid w:val="0"/>
          <w:kern w:val="0"/>
          <w:sz w:val="24"/>
          <w:szCs w:val="24"/>
        </w:rPr>
      </w:pPr>
      <w:r>
        <w:rPr>
          <w:rFonts w:hint="eastAsia" w:ascii="宋体" w:hAnsi="宋体" w:cs="宋体"/>
          <w:snapToGrid w:val="0"/>
          <w:kern w:val="0"/>
          <w:sz w:val="24"/>
          <w:szCs w:val="24"/>
        </w:rPr>
        <w:t>2.4人员需求计划</w:t>
      </w:r>
    </w:p>
    <w:p>
      <w:pPr>
        <w:autoSpaceDE w:val="0"/>
        <w:spacing w:before="0" w:after="0" w:line="360" w:lineRule="auto"/>
        <w:ind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金沙水电站：</w:t>
      </w:r>
    </w:p>
    <w:p>
      <w:pPr>
        <w:autoSpaceDE w:val="0"/>
        <w:spacing w:before="0" w:after="0" w:line="360" w:lineRule="auto"/>
        <w:ind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人员需求时间：依据招标人需要提供</w:t>
      </w:r>
    </w:p>
    <w:p>
      <w:pPr>
        <w:autoSpaceDE w:val="0"/>
        <w:spacing w:before="0" w:after="0" w:line="360" w:lineRule="auto"/>
        <w:ind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lang w:eastAsia="zh-CN"/>
        </w:rPr>
        <w:t>公司营地</w:t>
      </w:r>
      <w:r>
        <w:rPr>
          <w:rFonts w:hint="eastAsia" w:ascii="宋体" w:hAnsi="宋体" w:cs="宋体"/>
          <w:snapToGrid w:val="0"/>
          <w:kern w:val="0"/>
          <w:sz w:val="24"/>
          <w:szCs w:val="24"/>
        </w:rPr>
        <w:t>：</w:t>
      </w:r>
    </w:p>
    <w:p>
      <w:pPr>
        <w:autoSpaceDE w:val="0"/>
        <w:spacing w:before="0" w:after="0" w:line="360" w:lineRule="auto"/>
        <w:ind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人员需求时间：依据招标人需要提供</w:t>
      </w:r>
    </w:p>
    <w:p>
      <w:pPr>
        <w:autoSpaceDE w:val="0"/>
        <w:spacing w:before="0" w:after="0" w:line="360" w:lineRule="auto"/>
        <w:ind w:firstLine="480" w:firstLineChars="200"/>
        <w:outlineLvl w:val="1"/>
        <w:rPr>
          <w:rFonts w:ascii="宋体" w:hAnsi="宋体" w:cs="宋体"/>
          <w:snapToGrid w:val="0"/>
          <w:kern w:val="0"/>
          <w:sz w:val="24"/>
          <w:szCs w:val="24"/>
        </w:rPr>
      </w:pPr>
      <w:r>
        <w:rPr>
          <w:rFonts w:hint="eastAsia" w:ascii="宋体" w:hAnsi="宋体" w:cs="宋体"/>
          <w:snapToGrid w:val="0"/>
          <w:kern w:val="0"/>
          <w:sz w:val="24"/>
          <w:szCs w:val="24"/>
        </w:rPr>
        <w:t>3.技术条款</w:t>
      </w:r>
    </w:p>
    <w:p>
      <w:pPr>
        <w:autoSpaceDE w:val="0"/>
        <w:spacing w:before="0" w:after="0" w:line="360" w:lineRule="auto"/>
        <w:ind w:firstLine="480" w:firstLineChars="200"/>
        <w:outlineLvl w:val="2"/>
        <w:rPr>
          <w:rFonts w:ascii="宋体" w:hAnsi="宋体" w:cs="宋体"/>
          <w:snapToGrid w:val="0"/>
          <w:kern w:val="0"/>
          <w:sz w:val="24"/>
          <w:szCs w:val="24"/>
        </w:rPr>
      </w:pPr>
      <w:r>
        <w:rPr>
          <w:rFonts w:hint="eastAsia" w:ascii="宋体" w:hAnsi="宋体" w:cs="宋体"/>
          <w:snapToGrid w:val="0"/>
          <w:kern w:val="0"/>
          <w:sz w:val="24"/>
          <w:szCs w:val="24"/>
        </w:rPr>
        <w:t>3.1标准和规程</w:t>
      </w:r>
    </w:p>
    <w:p>
      <w:p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本项目所适用标准和规范见下（包括但不限于，其中没有标注日期的标准，其最新版本适用于本项目）：</w:t>
      </w:r>
    </w:p>
    <w:p>
      <w:pPr>
        <w:widowControl w:val="0"/>
        <w:numPr>
          <w:ilvl w:val="0"/>
          <w:numId w:val="4"/>
        </w:numPr>
        <w:adjustRightInd w:val="0"/>
        <w:snapToGrid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《中华人民共和国安全生产法》；</w:t>
      </w:r>
    </w:p>
    <w:p>
      <w:pPr>
        <w:widowControl w:val="0"/>
        <w:numPr>
          <w:ilvl w:val="0"/>
          <w:numId w:val="4"/>
        </w:numPr>
        <w:adjustRightInd w:val="0"/>
        <w:snapToGrid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《中华人民共和国劳动法》；</w:t>
      </w:r>
    </w:p>
    <w:p>
      <w:pPr>
        <w:widowControl w:val="0"/>
        <w:numPr>
          <w:ilvl w:val="0"/>
          <w:numId w:val="4"/>
        </w:numPr>
        <w:adjustRightInd w:val="0"/>
        <w:snapToGrid w:val="0"/>
        <w:spacing w:before="0" w:after="0"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中华人民共和国国务院令《安保服务管理条例》；</w:t>
      </w:r>
    </w:p>
    <w:p>
      <w:pPr>
        <w:widowControl w:val="0"/>
        <w:numPr>
          <w:ilvl w:val="0"/>
          <w:numId w:val="4"/>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napToGrid w:val="0"/>
          <w:kern w:val="0"/>
          <w:sz w:val="24"/>
          <w:szCs w:val="24"/>
        </w:rPr>
        <w:t>国务院《企业事业内部治安保卫条例》；</w:t>
      </w:r>
    </w:p>
    <w:p>
      <w:pPr>
        <w:widowControl w:val="0"/>
        <w:numPr>
          <w:ilvl w:val="0"/>
          <w:numId w:val="4"/>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napToGrid w:val="0"/>
          <w:kern w:val="0"/>
          <w:sz w:val="24"/>
          <w:szCs w:val="24"/>
        </w:rPr>
        <w:t>《中华人民共和国社会治安管理处罚法》。</w:t>
      </w:r>
    </w:p>
    <w:p>
      <w:pPr>
        <w:widowControl w:val="0"/>
        <w:numPr>
          <w:ilvl w:val="0"/>
          <w:numId w:val="4"/>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《突发公共卫生事件应急条例》；</w:t>
      </w:r>
    </w:p>
    <w:p>
      <w:pPr>
        <w:widowControl w:val="0"/>
        <w:numPr>
          <w:ilvl w:val="0"/>
          <w:numId w:val="4"/>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《中华人民共和国传染病防治法》。</w:t>
      </w:r>
    </w:p>
    <w:p>
      <w:pPr>
        <w:autoSpaceDE w:val="0"/>
        <w:spacing w:before="0" w:after="0" w:line="360" w:lineRule="auto"/>
        <w:ind w:firstLine="480" w:firstLineChars="200"/>
        <w:outlineLvl w:val="2"/>
        <w:rPr>
          <w:rFonts w:ascii="宋体" w:hAnsi="宋体" w:cs="宋体"/>
          <w:snapToGrid w:val="0"/>
          <w:kern w:val="0"/>
          <w:sz w:val="24"/>
          <w:szCs w:val="24"/>
        </w:rPr>
      </w:pPr>
      <w:r>
        <w:rPr>
          <w:rFonts w:hint="eastAsia" w:ascii="宋体" w:hAnsi="宋体" w:cs="宋体"/>
          <w:snapToGrid w:val="0"/>
          <w:kern w:val="0"/>
          <w:sz w:val="24"/>
          <w:szCs w:val="24"/>
        </w:rPr>
        <w:t>3.2技术要求</w:t>
      </w:r>
    </w:p>
    <w:bookmarkEnd w:id="244"/>
    <w:bookmarkEnd w:id="245"/>
    <w:bookmarkEnd w:id="246"/>
    <w:p>
      <w:pPr>
        <w:ind w:firstLine="480" w:firstLineChars="200"/>
        <w:rPr>
          <w:rFonts w:ascii="宋体" w:hAnsi="宋体" w:cs="宋体"/>
          <w:sz w:val="24"/>
          <w:szCs w:val="24"/>
        </w:rPr>
      </w:pPr>
      <w:r>
        <w:rPr>
          <w:rFonts w:hint="eastAsia" w:ascii="宋体" w:hAnsi="宋体" w:cs="宋体"/>
          <w:sz w:val="24"/>
          <w:szCs w:val="24"/>
        </w:rPr>
        <w:t>3.2.1项目组织及管理</w:t>
      </w:r>
    </w:p>
    <w:p>
      <w:pPr>
        <w:ind w:firstLine="480" w:firstLineChars="200"/>
        <w:rPr>
          <w:rFonts w:ascii="宋体" w:hAnsi="宋体" w:cs="宋体"/>
          <w:sz w:val="24"/>
          <w:szCs w:val="24"/>
        </w:rPr>
      </w:pPr>
      <w:r>
        <w:rPr>
          <w:rFonts w:hint="eastAsia" w:ascii="宋体" w:hAnsi="宋体" w:cs="宋体"/>
          <w:sz w:val="24"/>
          <w:szCs w:val="24"/>
        </w:rPr>
        <w:t>3.2.1.1人员配置及组织</w:t>
      </w:r>
    </w:p>
    <w:p>
      <w:pPr>
        <w:widowControl w:val="0"/>
        <w:numPr>
          <w:ilvl w:val="0"/>
          <w:numId w:val="5"/>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投标人应按采购文件的要求配置数量足够、专业齐全、结构合理的服务团队进行工作。其中须指定人员作为本服务项目团队的负责人。</w:t>
      </w:r>
    </w:p>
    <w:p>
      <w:pPr>
        <w:widowControl w:val="0"/>
        <w:numPr>
          <w:ilvl w:val="0"/>
          <w:numId w:val="5"/>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投标人的工作人员应具有与本项目技术要求相适应的技术水平、管理水平和相应资质。</w:t>
      </w:r>
    </w:p>
    <w:p>
      <w:pPr>
        <w:widowControl w:val="0"/>
        <w:numPr>
          <w:ilvl w:val="0"/>
          <w:numId w:val="5"/>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除非招标人书面同意，投标人不得更换工作人员。如需更换，应以同等或更高条件的人员取代需更换的人员。</w:t>
      </w:r>
    </w:p>
    <w:p>
      <w:pPr>
        <w:widowControl w:val="0"/>
        <w:numPr>
          <w:ilvl w:val="0"/>
          <w:numId w:val="5"/>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当招标人有合理理由认为任何工作人员不符合本项目要求时，招标人有权要求投标人更换，投标人应无条件执行。</w:t>
      </w:r>
    </w:p>
    <w:p>
      <w:pPr>
        <w:widowControl w:val="0"/>
        <w:numPr>
          <w:ilvl w:val="0"/>
          <w:numId w:val="5"/>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投标人须按商务文件“人员配备表”格式提供人员情况。</w:t>
      </w:r>
    </w:p>
    <w:p>
      <w:pPr>
        <w:numPr>
          <w:ilvl w:val="0"/>
          <w:numId w:val="5"/>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投标人应按照下表</w:t>
      </w:r>
      <w:r>
        <w:rPr>
          <w:rFonts w:hint="eastAsia" w:ascii="宋体" w:hAnsi="宋体" w:cs="宋体"/>
          <w:sz w:val="24"/>
          <w:szCs w:val="24"/>
          <w:lang w:eastAsia="zh-CN"/>
        </w:rPr>
        <w:t>最低人员要求</w:t>
      </w:r>
      <w:r>
        <w:rPr>
          <w:rFonts w:hint="eastAsia" w:ascii="宋体" w:hAnsi="宋体" w:cs="宋体"/>
          <w:sz w:val="24"/>
          <w:szCs w:val="24"/>
        </w:rPr>
        <w:t>进行人员配置：</w:t>
      </w:r>
    </w:p>
    <w:tbl>
      <w:tblPr>
        <w:tblStyle w:val="33"/>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63"/>
        <w:gridCol w:w="1356"/>
        <w:gridCol w:w="1318"/>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3" w:type="dxa"/>
            <w:vMerge w:val="restart"/>
            <w:vAlign w:val="center"/>
          </w:tcPr>
          <w:p>
            <w:pPr>
              <w:widowControl w:val="0"/>
              <w:adjustRightInd w:val="0"/>
              <w:snapToGrid w:val="0"/>
              <w:spacing w:before="0" w:after="0" w:line="240" w:lineRule="auto"/>
              <w:jc w:val="left"/>
              <w:rPr>
                <w:rFonts w:ascii="宋体" w:hAnsi="宋体" w:cs="宋体"/>
                <w:b/>
                <w:bCs/>
                <w:sz w:val="20"/>
                <w:szCs w:val="21"/>
              </w:rPr>
            </w:pPr>
            <w:r>
              <w:rPr>
                <w:rFonts w:hint="eastAsia" w:ascii="宋体" w:hAnsi="宋体" w:cs="宋体"/>
                <w:b/>
                <w:bCs/>
                <w:sz w:val="20"/>
                <w:szCs w:val="21"/>
              </w:rPr>
              <w:t>序号</w:t>
            </w:r>
          </w:p>
        </w:tc>
        <w:tc>
          <w:tcPr>
            <w:tcW w:w="1163" w:type="dxa"/>
            <w:vMerge w:val="restart"/>
            <w:vAlign w:val="center"/>
          </w:tcPr>
          <w:p>
            <w:pPr>
              <w:widowControl w:val="0"/>
              <w:adjustRightInd w:val="0"/>
              <w:snapToGrid w:val="0"/>
              <w:spacing w:before="0" w:after="0" w:line="240" w:lineRule="auto"/>
              <w:jc w:val="left"/>
              <w:rPr>
                <w:rFonts w:ascii="宋体" w:hAnsi="宋体" w:cs="宋体"/>
                <w:b/>
                <w:bCs/>
                <w:sz w:val="20"/>
                <w:szCs w:val="21"/>
              </w:rPr>
            </w:pPr>
            <w:r>
              <w:rPr>
                <w:rFonts w:hint="eastAsia" w:ascii="宋体" w:hAnsi="宋体" w:cs="宋体"/>
                <w:b/>
                <w:bCs/>
                <w:sz w:val="20"/>
                <w:szCs w:val="21"/>
              </w:rPr>
              <w:t>岗位</w:t>
            </w:r>
          </w:p>
        </w:tc>
        <w:tc>
          <w:tcPr>
            <w:tcW w:w="2674" w:type="dxa"/>
            <w:gridSpan w:val="2"/>
            <w:vAlign w:val="center"/>
          </w:tcPr>
          <w:p>
            <w:pPr>
              <w:widowControl w:val="0"/>
              <w:adjustRightInd w:val="0"/>
              <w:snapToGrid w:val="0"/>
              <w:spacing w:before="0" w:after="0" w:line="240" w:lineRule="auto"/>
              <w:jc w:val="center"/>
              <w:rPr>
                <w:rFonts w:ascii="宋体" w:hAnsi="宋体" w:cs="宋体"/>
                <w:b/>
                <w:bCs/>
                <w:sz w:val="20"/>
                <w:szCs w:val="21"/>
              </w:rPr>
            </w:pPr>
            <w:r>
              <w:rPr>
                <w:rFonts w:hint="eastAsia" w:ascii="宋体" w:hAnsi="宋体" w:cs="宋体"/>
                <w:b/>
                <w:bCs/>
                <w:sz w:val="20"/>
                <w:szCs w:val="21"/>
                <w:lang w:eastAsia="zh-CN"/>
              </w:rPr>
              <w:t>最低配置</w:t>
            </w:r>
            <w:r>
              <w:rPr>
                <w:rFonts w:hint="eastAsia" w:ascii="宋体" w:hAnsi="宋体" w:cs="宋体"/>
                <w:b/>
                <w:bCs/>
                <w:sz w:val="20"/>
                <w:szCs w:val="21"/>
              </w:rPr>
              <w:t>人数</w:t>
            </w:r>
          </w:p>
        </w:tc>
        <w:tc>
          <w:tcPr>
            <w:tcW w:w="4864" w:type="dxa"/>
            <w:vAlign w:val="center"/>
          </w:tcPr>
          <w:p>
            <w:pPr>
              <w:widowControl w:val="0"/>
              <w:adjustRightInd w:val="0"/>
              <w:snapToGrid w:val="0"/>
              <w:spacing w:before="0" w:after="0" w:line="240" w:lineRule="auto"/>
              <w:jc w:val="left"/>
              <w:rPr>
                <w:rFonts w:ascii="宋体" w:hAnsi="宋体" w:cs="宋体"/>
                <w:b/>
                <w:bCs/>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3" w:type="dxa"/>
            <w:vMerge w:val="continue"/>
            <w:vAlign w:val="center"/>
          </w:tcPr>
          <w:p>
            <w:pPr>
              <w:adjustRightInd w:val="0"/>
              <w:snapToGrid w:val="0"/>
              <w:spacing w:before="0" w:after="0" w:line="240" w:lineRule="auto"/>
              <w:jc w:val="center"/>
              <w:rPr>
                <w:rFonts w:ascii="宋体" w:hAnsi="宋体" w:cs="宋体"/>
                <w:b/>
                <w:bCs/>
                <w:sz w:val="20"/>
                <w:szCs w:val="21"/>
              </w:rPr>
            </w:pPr>
          </w:p>
        </w:tc>
        <w:tc>
          <w:tcPr>
            <w:tcW w:w="1163" w:type="dxa"/>
            <w:vMerge w:val="continue"/>
            <w:vAlign w:val="center"/>
          </w:tcPr>
          <w:p>
            <w:pPr>
              <w:adjustRightInd w:val="0"/>
              <w:snapToGrid w:val="0"/>
              <w:spacing w:before="0" w:after="0" w:line="240" w:lineRule="auto"/>
              <w:jc w:val="center"/>
              <w:rPr>
                <w:rFonts w:ascii="宋体" w:hAnsi="宋体" w:cs="宋体"/>
                <w:b/>
                <w:bCs/>
                <w:sz w:val="20"/>
                <w:szCs w:val="21"/>
              </w:rPr>
            </w:pPr>
          </w:p>
        </w:tc>
        <w:tc>
          <w:tcPr>
            <w:tcW w:w="1356" w:type="dxa"/>
            <w:vAlign w:val="center"/>
          </w:tcPr>
          <w:p>
            <w:pPr>
              <w:adjustRightInd w:val="0"/>
              <w:snapToGrid w:val="0"/>
              <w:spacing w:before="0" w:after="0" w:line="240" w:lineRule="auto"/>
              <w:jc w:val="center"/>
              <w:rPr>
                <w:rFonts w:ascii="宋体" w:hAnsi="宋体" w:cs="宋体"/>
                <w:b/>
                <w:bCs/>
                <w:sz w:val="20"/>
                <w:szCs w:val="21"/>
              </w:rPr>
            </w:pPr>
            <w:r>
              <w:rPr>
                <w:rFonts w:hint="eastAsia" w:ascii="宋体" w:hAnsi="宋体" w:cs="宋体"/>
                <w:b/>
                <w:bCs/>
                <w:sz w:val="20"/>
                <w:szCs w:val="21"/>
              </w:rPr>
              <w:t>金沙水力发电厂</w:t>
            </w:r>
          </w:p>
        </w:tc>
        <w:tc>
          <w:tcPr>
            <w:tcW w:w="1318" w:type="dxa"/>
            <w:vAlign w:val="center"/>
          </w:tcPr>
          <w:p>
            <w:pPr>
              <w:adjustRightInd w:val="0"/>
              <w:snapToGrid w:val="0"/>
              <w:spacing w:before="0" w:after="0" w:line="240" w:lineRule="auto"/>
              <w:jc w:val="center"/>
              <w:rPr>
                <w:rFonts w:ascii="宋体" w:hAnsi="宋体" w:cs="宋体"/>
                <w:b/>
                <w:bCs/>
                <w:color w:val="FF0000"/>
                <w:sz w:val="20"/>
                <w:szCs w:val="21"/>
              </w:rPr>
            </w:pPr>
            <w:r>
              <w:rPr>
                <w:rFonts w:hint="eastAsia" w:ascii="宋体" w:hAnsi="宋体" w:cs="宋体"/>
                <w:b/>
                <w:bCs/>
                <w:sz w:val="20"/>
                <w:szCs w:val="21"/>
              </w:rPr>
              <w:t>公司营地</w:t>
            </w:r>
          </w:p>
        </w:tc>
        <w:tc>
          <w:tcPr>
            <w:tcW w:w="4864" w:type="dxa"/>
            <w:vAlign w:val="center"/>
          </w:tcPr>
          <w:p>
            <w:pPr>
              <w:adjustRightInd w:val="0"/>
              <w:snapToGrid w:val="0"/>
              <w:spacing w:before="0" w:after="0" w:line="240" w:lineRule="auto"/>
              <w:jc w:val="center"/>
              <w:rPr>
                <w:rFonts w:ascii="宋体" w:hAnsi="宋体" w:cs="宋体"/>
                <w:b/>
                <w:bCs/>
                <w:color w:val="FF0000"/>
                <w:sz w:val="20"/>
                <w:szCs w:val="21"/>
              </w:rPr>
            </w:pPr>
            <w:r>
              <w:rPr>
                <w:rFonts w:hint="eastAsia" w:ascii="宋体" w:hAnsi="宋体" w:cs="宋体"/>
                <w:b/>
                <w:bCs/>
                <w:sz w:val="20"/>
                <w:szCs w:val="21"/>
              </w:rPr>
              <w:t>人员素质要求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1</w:t>
            </w:r>
          </w:p>
        </w:tc>
        <w:tc>
          <w:tcPr>
            <w:tcW w:w="1163" w:type="dxa"/>
            <w:vAlign w:val="center"/>
          </w:tcPr>
          <w:p>
            <w:pPr>
              <w:adjustRightInd w:val="0"/>
              <w:snapToGrid w:val="0"/>
              <w:spacing w:before="0" w:after="0" w:line="240" w:lineRule="auto"/>
              <w:rPr>
                <w:rFonts w:ascii="宋体" w:hAnsi="宋体" w:cs="宋体"/>
                <w:color w:val="FF0000"/>
                <w:sz w:val="20"/>
                <w:szCs w:val="21"/>
              </w:rPr>
            </w:pPr>
            <w:r>
              <w:rPr>
                <w:rFonts w:hint="eastAsia" w:ascii="宋体" w:hAnsi="宋体" w:cs="宋体"/>
                <w:sz w:val="20"/>
                <w:szCs w:val="21"/>
              </w:rPr>
              <w:t>项目经理</w:t>
            </w:r>
          </w:p>
        </w:tc>
        <w:tc>
          <w:tcPr>
            <w:tcW w:w="1356"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w:t>
            </w:r>
          </w:p>
        </w:tc>
        <w:tc>
          <w:tcPr>
            <w:tcW w:w="1318"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1</w:t>
            </w:r>
          </w:p>
        </w:tc>
        <w:tc>
          <w:tcPr>
            <w:tcW w:w="4864" w:type="dxa"/>
            <w:vMerge w:val="restart"/>
            <w:vAlign w:val="center"/>
          </w:tcPr>
          <w:p>
            <w:pPr>
              <w:adjustRightInd w:val="0"/>
              <w:snapToGrid w:val="0"/>
              <w:spacing w:before="0" w:after="0" w:line="240" w:lineRule="auto"/>
              <w:rPr>
                <w:rFonts w:ascii="宋体" w:hAnsi="宋体" w:cs="宋体"/>
                <w:sz w:val="20"/>
                <w:szCs w:val="21"/>
              </w:rPr>
            </w:pPr>
            <w:r>
              <w:rPr>
                <w:rFonts w:hint="eastAsia" w:ascii="宋体" w:hAnsi="宋体" w:cs="宋体"/>
                <w:szCs w:val="21"/>
              </w:rPr>
              <w:t>年龄25岁以上，男女不限，文化程度大专及以上，身体健康，五官端正，无违法犯罪记录，具备一定的语言、文字表达能力和沟通能力，具备岗位相关工作经验，具有物业管理行业相关证件优先。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2</w:t>
            </w:r>
          </w:p>
        </w:tc>
        <w:tc>
          <w:tcPr>
            <w:tcW w:w="1163" w:type="dxa"/>
            <w:vAlign w:val="center"/>
          </w:tcPr>
          <w:p>
            <w:pPr>
              <w:adjustRightInd w:val="0"/>
              <w:snapToGrid w:val="0"/>
              <w:spacing w:before="0" w:after="0" w:line="240" w:lineRule="auto"/>
              <w:rPr>
                <w:rFonts w:ascii="宋体" w:hAnsi="宋体" w:cs="宋体"/>
                <w:sz w:val="20"/>
                <w:szCs w:val="21"/>
              </w:rPr>
            </w:pPr>
            <w:r>
              <w:rPr>
                <w:rFonts w:hint="eastAsia" w:ascii="宋体" w:hAnsi="宋体" w:cs="宋体"/>
                <w:sz w:val="20"/>
                <w:szCs w:val="21"/>
              </w:rPr>
              <w:t>项目助理</w:t>
            </w:r>
          </w:p>
        </w:tc>
        <w:tc>
          <w:tcPr>
            <w:tcW w:w="1356" w:type="dxa"/>
            <w:vAlign w:val="center"/>
          </w:tcPr>
          <w:p>
            <w:pPr>
              <w:adjustRightInd w:val="0"/>
              <w:snapToGrid w:val="0"/>
              <w:spacing w:before="0" w:after="0" w:line="240" w:lineRule="auto"/>
              <w:jc w:val="center"/>
              <w:rPr>
                <w:rFonts w:hint="eastAsia" w:ascii="宋体" w:hAnsi="宋体" w:eastAsia="宋体" w:cs="宋体"/>
                <w:sz w:val="20"/>
                <w:szCs w:val="21"/>
                <w:lang w:eastAsia="zh-CN"/>
              </w:rPr>
            </w:pPr>
            <w:r>
              <w:rPr>
                <w:rFonts w:hint="eastAsia" w:ascii="宋体" w:hAnsi="宋体" w:cs="宋体"/>
                <w:sz w:val="20"/>
                <w:szCs w:val="21"/>
                <w:lang w:val="en-US" w:eastAsia="zh-CN"/>
              </w:rPr>
              <w:t>/</w:t>
            </w:r>
          </w:p>
        </w:tc>
        <w:tc>
          <w:tcPr>
            <w:tcW w:w="1318" w:type="dxa"/>
            <w:vAlign w:val="center"/>
          </w:tcPr>
          <w:p>
            <w:pPr>
              <w:adjustRightInd w:val="0"/>
              <w:snapToGrid w:val="0"/>
              <w:spacing w:before="0" w:after="0" w:line="240" w:lineRule="auto"/>
              <w:jc w:val="center"/>
              <w:rPr>
                <w:rFonts w:hint="eastAsia" w:ascii="宋体" w:hAnsi="宋体" w:eastAsia="宋体" w:cs="宋体"/>
                <w:sz w:val="20"/>
                <w:szCs w:val="21"/>
                <w:lang w:eastAsia="zh-CN"/>
              </w:rPr>
            </w:pPr>
            <w:r>
              <w:rPr>
                <w:rFonts w:hint="eastAsia" w:ascii="宋体" w:hAnsi="宋体" w:cs="宋体"/>
                <w:sz w:val="20"/>
                <w:szCs w:val="21"/>
                <w:lang w:val="en-US" w:eastAsia="zh-CN"/>
              </w:rPr>
              <w:t>2</w:t>
            </w:r>
          </w:p>
        </w:tc>
        <w:tc>
          <w:tcPr>
            <w:tcW w:w="4864" w:type="dxa"/>
            <w:vMerge w:val="continue"/>
            <w:vAlign w:val="center"/>
          </w:tcPr>
          <w:p>
            <w:pPr>
              <w:adjustRightInd w:val="0"/>
              <w:snapToGrid w:val="0"/>
              <w:spacing w:before="0" w:after="0" w:line="240" w:lineRule="auto"/>
              <w:rPr>
                <w:rFonts w:ascii="宋体" w:hAnsi="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3</w:t>
            </w:r>
          </w:p>
        </w:tc>
        <w:tc>
          <w:tcPr>
            <w:tcW w:w="1163" w:type="dxa"/>
            <w:vAlign w:val="center"/>
          </w:tcPr>
          <w:p>
            <w:pPr>
              <w:spacing w:before="0" w:after="0" w:line="240" w:lineRule="auto"/>
              <w:rPr>
                <w:rFonts w:ascii="宋体" w:hAnsi="宋体" w:cs="宋体"/>
                <w:bCs/>
                <w:snapToGrid w:val="0"/>
                <w:kern w:val="0"/>
                <w:sz w:val="20"/>
                <w:szCs w:val="21"/>
              </w:rPr>
            </w:pPr>
            <w:r>
              <w:rPr>
                <w:rFonts w:hint="eastAsia" w:ascii="宋体" w:hAnsi="宋体" w:cs="宋体"/>
                <w:bCs/>
                <w:snapToGrid w:val="0"/>
                <w:kern w:val="0"/>
                <w:sz w:val="20"/>
                <w:szCs w:val="21"/>
              </w:rPr>
              <w:t>内勤</w:t>
            </w:r>
          </w:p>
        </w:tc>
        <w:tc>
          <w:tcPr>
            <w:tcW w:w="1356"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w:t>
            </w:r>
          </w:p>
        </w:tc>
        <w:tc>
          <w:tcPr>
            <w:tcW w:w="1318"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1</w:t>
            </w:r>
          </w:p>
        </w:tc>
        <w:tc>
          <w:tcPr>
            <w:tcW w:w="4864" w:type="dxa"/>
            <w:vMerge w:val="continue"/>
            <w:vAlign w:val="center"/>
          </w:tcPr>
          <w:p>
            <w:pPr>
              <w:adjustRightInd w:val="0"/>
              <w:snapToGrid w:val="0"/>
              <w:spacing w:before="0" w:after="0" w:line="240" w:lineRule="auto"/>
              <w:rPr>
                <w:rFonts w:ascii="宋体" w:hAnsi="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4</w:t>
            </w:r>
          </w:p>
        </w:tc>
        <w:tc>
          <w:tcPr>
            <w:tcW w:w="1163" w:type="dxa"/>
            <w:vAlign w:val="center"/>
          </w:tcPr>
          <w:p>
            <w:pPr>
              <w:spacing w:before="0" w:after="0" w:line="240" w:lineRule="auto"/>
              <w:rPr>
                <w:rFonts w:ascii="宋体" w:hAnsi="宋体" w:cs="宋体"/>
                <w:color w:val="FF0000"/>
                <w:sz w:val="20"/>
                <w:szCs w:val="21"/>
              </w:rPr>
            </w:pPr>
            <w:r>
              <w:rPr>
                <w:rFonts w:hint="eastAsia" w:ascii="宋体" w:hAnsi="宋体" w:cs="宋体"/>
                <w:bCs/>
                <w:snapToGrid w:val="0"/>
                <w:kern w:val="0"/>
                <w:sz w:val="20"/>
                <w:szCs w:val="21"/>
              </w:rPr>
              <w:t>保卫人员/门卫</w:t>
            </w:r>
          </w:p>
        </w:tc>
        <w:tc>
          <w:tcPr>
            <w:tcW w:w="1356" w:type="dxa"/>
            <w:vAlign w:val="center"/>
          </w:tcPr>
          <w:p>
            <w:pPr>
              <w:adjustRightInd w:val="0"/>
              <w:snapToGrid w:val="0"/>
              <w:spacing w:before="0" w:after="0" w:line="240" w:lineRule="auto"/>
              <w:jc w:val="center"/>
              <w:rPr>
                <w:rFonts w:hint="eastAsia" w:ascii="宋体" w:hAnsi="宋体" w:eastAsia="宋体" w:cs="宋体"/>
                <w:sz w:val="20"/>
                <w:szCs w:val="21"/>
                <w:lang w:eastAsia="zh-CN"/>
              </w:rPr>
            </w:pPr>
            <w:r>
              <w:rPr>
                <w:rFonts w:hint="eastAsia" w:ascii="宋体" w:hAnsi="宋体" w:cs="宋体"/>
                <w:sz w:val="20"/>
                <w:szCs w:val="21"/>
              </w:rPr>
              <w:t>1</w:t>
            </w:r>
            <w:r>
              <w:rPr>
                <w:rFonts w:hint="eastAsia" w:ascii="宋体" w:hAnsi="宋体" w:cs="宋体"/>
                <w:sz w:val="20"/>
                <w:szCs w:val="21"/>
                <w:lang w:val="en-US" w:eastAsia="zh-CN"/>
              </w:rPr>
              <w:t>1</w:t>
            </w:r>
          </w:p>
        </w:tc>
        <w:tc>
          <w:tcPr>
            <w:tcW w:w="1318"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9</w:t>
            </w:r>
          </w:p>
        </w:tc>
        <w:tc>
          <w:tcPr>
            <w:tcW w:w="4864" w:type="dxa"/>
            <w:vAlign w:val="center"/>
          </w:tcPr>
          <w:p>
            <w:pPr>
              <w:adjustRightInd w:val="0"/>
              <w:snapToGrid w:val="0"/>
              <w:spacing w:before="0" w:after="0" w:line="240" w:lineRule="auto"/>
              <w:rPr>
                <w:rFonts w:ascii="宋体" w:hAnsi="宋体" w:cs="宋体"/>
                <w:sz w:val="20"/>
                <w:szCs w:val="21"/>
              </w:rPr>
            </w:pPr>
            <w:r>
              <w:rPr>
                <w:rFonts w:hint="eastAsia" w:ascii="宋体" w:hAnsi="宋体" w:cs="宋体"/>
                <w:sz w:val="20"/>
                <w:szCs w:val="21"/>
              </w:rPr>
              <w:t>年龄25—50岁之间，男性，文化程度高中及以上，身体健康，无违法犯罪记录，具备一定的语言、文字表达能力和沟通能力，掌握保安器械、消防器材使用技能。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5</w:t>
            </w:r>
          </w:p>
        </w:tc>
        <w:tc>
          <w:tcPr>
            <w:tcW w:w="1163" w:type="dxa"/>
            <w:vAlign w:val="center"/>
          </w:tcPr>
          <w:p>
            <w:pPr>
              <w:adjustRightInd w:val="0"/>
              <w:snapToGrid w:val="0"/>
              <w:spacing w:before="0" w:after="0" w:line="240" w:lineRule="auto"/>
              <w:rPr>
                <w:rFonts w:ascii="宋体" w:hAnsi="宋体" w:cs="宋体"/>
                <w:color w:val="FF0000"/>
                <w:sz w:val="20"/>
                <w:szCs w:val="21"/>
              </w:rPr>
            </w:pPr>
            <w:r>
              <w:rPr>
                <w:rFonts w:hint="eastAsia" w:ascii="宋体" w:hAnsi="宋体" w:cs="宋体"/>
                <w:snapToGrid w:val="0"/>
                <w:kern w:val="0"/>
                <w:sz w:val="20"/>
                <w:szCs w:val="21"/>
              </w:rPr>
              <w:t>保洁人员</w:t>
            </w:r>
          </w:p>
        </w:tc>
        <w:tc>
          <w:tcPr>
            <w:tcW w:w="1356" w:type="dxa"/>
            <w:vAlign w:val="center"/>
          </w:tcPr>
          <w:p>
            <w:pPr>
              <w:adjustRightInd w:val="0"/>
              <w:snapToGrid w:val="0"/>
              <w:spacing w:before="0" w:after="0" w:line="240" w:lineRule="auto"/>
              <w:jc w:val="center"/>
              <w:rPr>
                <w:rFonts w:hint="eastAsia" w:ascii="宋体" w:hAnsi="宋体" w:eastAsia="宋体" w:cs="宋体"/>
                <w:sz w:val="20"/>
                <w:szCs w:val="21"/>
                <w:lang w:eastAsia="zh-CN"/>
              </w:rPr>
            </w:pPr>
            <w:r>
              <w:rPr>
                <w:rFonts w:hint="eastAsia" w:ascii="宋体" w:hAnsi="宋体" w:cs="宋体"/>
                <w:sz w:val="20"/>
                <w:szCs w:val="21"/>
                <w:lang w:val="en-US" w:eastAsia="zh-CN"/>
              </w:rPr>
              <w:t>8</w:t>
            </w:r>
          </w:p>
        </w:tc>
        <w:tc>
          <w:tcPr>
            <w:tcW w:w="1318"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11</w:t>
            </w:r>
          </w:p>
        </w:tc>
        <w:tc>
          <w:tcPr>
            <w:tcW w:w="4864" w:type="dxa"/>
            <w:vAlign w:val="center"/>
          </w:tcPr>
          <w:p>
            <w:pPr>
              <w:adjustRightInd w:val="0"/>
              <w:snapToGrid w:val="0"/>
              <w:spacing w:before="0" w:after="0" w:line="240" w:lineRule="auto"/>
              <w:rPr>
                <w:rFonts w:ascii="宋体" w:hAnsi="宋体" w:cs="宋体"/>
                <w:sz w:val="20"/>
                <w:szCs w:val="21"/>
              </w:rPr>
            </w:pPr>
            <w:r>
              <w:rPr>
                <w:rFonts w:hint="eastAsia" w:ascii="宋体" w:hAnsi="宋体" w:cs="宋体"/>
                <w:sz w:val="20"/>
                <w:szCs w:val="21"/>
              </w:rPr>
              <w:t>年龄18—55岁之间，男女不限，文化程度初中及以上，身体健康，无违法犯罪记录，具备一定的语言、文字表达能力和沟通能力，掌握保洁器具、清洁剂使用技能。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6</w:t>
            </w:r>
          </w:p>
        </w:tc>
        <w:tc>
          <w:tcPr>
            <w:tcW w:w="1163" w:type="dxa"/>
            <w:vAlign w:val="center"/>
          </w:tcPr>
          <w:p>
            <w:pPr>
              <w:spacing w:before="0" w:after="0" w:line="240" w:lineRule="auto"/>
              <w:rPr>
                <w:rFonts w:ascii="宋体" w:hAnsi="宋体" w:cs="宋体"/>
                <w:bCs/>
                <w:snapToGrid w:val="0"/>
                <w:kern w:val="0"/>
                <w:sz w:val="20"/>
                <w:szCs w:val="21"/>
              </w:rPr>
            </w:pPr>
            <w:r>
              <w:rPr>
                <w:rFonts w:hint="eastAsia" w:ascii="宋体" w:hAnsi="宋体" w:cs="宋体"/>
                <w:bCs/>
                <w:snapToGrid w:val="0"/>
                <w:kern w:val="0"/>
                <w:sz w:val="20"/>
                <w:szCs w:val="21"/>
              </w:rPr>
              <w:t>临时用工人员</w:t>
            </w:r>
          </w:p>
        </w:tc>
        <w:tc>
          <w:tcPr>
            <w:tcW w:w="1356" w:type="dxa"/>
            <w:vAlign w:val="center"/>
          </w:tcPr>
          <w:p>
            <w:pPr>
              <w:adjustRightInd w:val="0"/>
              <w:snapToGrid w:val="0"/>
              <w:spacing w:before="0" w:after="0" w:line="240" w:lineRule="auto"/>
              <w:jc w:val="center"/>
              <w:rPr>
                <w:rFonts w:hint="eastAsia" w:ascii="宋体" w:hAnsi="宋体" w:eastAsia="宋体" w:cs="宋体"/>
                <w:sz w:val="20"/>
                <w:szCs w:val="21"/>
                <w:lang w:eastAsia="zh-CN"/>
              </w:rPr>
            </w:pPr>
            <w:r>
              <w:rPr>
                <w:rFonts w:hint="eastAsia" w:ascii="宋体" w:hAnsi="宋体" w:cs="宋体"/>
                <w:sz w:val="20"/>
                <w:szCs w:val="21"/>
                <w:lang w:val="en-US" w:eastAsia="zh-CN"/>
              </w:rPr>
              <w:t>/</w:t>
            </w:r>
          </w:p>
        </w:tc>
        <w:tc>
          <w:tcPr>
            <w:tcW w:w="1318"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w:t>
            </w:r>
          </w:p>
        </w:tc>
        <w:tc>
          <w:tcPr>
            <w:tcW w:w="4864" w:type="dxa"/>
            <w:vAlign w:val="center"/>
          </w:tcPr>
          <w:p>
            <w:pPr>
              <w:adjustRightInd w:val="0"/>
              <w:snapToGrid w:val="0"/>
              <w:spacing w:before="0" w:after="0" w:line="240" w:lineRule="auto"/>
              <w:rPr>
                <w:rFonts w:ascii="宋体" w:hAnsi="宋体" w:cs="宋体"/>
                <w:sz w:val="20"/>
                <w:szCs w:val="21"/>
              </w:rPr>
            </w:pPr>
            <w:r>
              <w:rPr>
                <w:rFonts w:hint="eastAsia" w:ascii="宋体" w:hAnsi="宋体" w:cs="宋体"/>
                <w:sz w:val="20"/>
                <w:szCs w:val="21"/>
              </w:rPr>
              <w:t>必须政治素质高，业务能力强，有良好的敬业精神，无违法犯罪记录，具备一定的语言、文字表达能力和沟通能力。服从安排，服从调度。年龄18—55岁之间，男性，身体素质能承担重体力工作。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7</w:t>
            </w:r>
          </w:p>
        </w:tc>
        <w:tc>
          <w:tcPr>
            <w:tcW w:w="1163" w:type="dxa"/>
            <w:vAlign w:val="center"/>
          </w:tcPr>
          <w:p>
            <w:pPr>
              <w:spacing w:before="0" w:after="0" w:line="240" w:lineRule="auto"/>
              <w:rPr>
                <w:rFonts w:ascii="宋体" w:hAnsi="宋体" w:cs="宋体"/>
                <w:bCs/>
                <w:snapToGrid w:val="0"/>
                <w:kern w:val="0"/>
                <w:sz w:val="20"/>
                <w:szCs w:val="21"/>
              </w:rPr>
            </w:pPr>
            <w:r>
              <w:rPr>
                <w:rFonts w:hint="eastAsia" w:ascii="宋体" w:hAnsi="宋体" w:cs="宋体"/>
                <w:bCs/>
                <w:snapToGrid w:val="0"/>
                <w:kern w:val="0"/>
                <w:sz w:val="20"/>
                <w:szCs w:val="21"/>
              </w:rPr>
              <w:t>客服人员</w:t>
            </w:r>
          </w:p>
        </w:tc>
        <w:tc>
          <w:tcPr>
            <w:tcW w:w="1356"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w:t>
            </w:r>
          </w:p>
        </w:tc>
        <w:tc>
          <w:tcPr>
            <w:tcW w:w="1318"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8</w:t>
            </w:r>
          </w:p>
        </w:tc>
        <w:tc>
          <w:tcPr>
            <w:tcW w:w="4864" w:type="dxa"/>
            <w:vAlign w:val="center"/>
          </w:tcPr>
          <w:p>
            <w:pPr>
              <w:adjustRightInd w:val="0"/>
              <w:snapToGrid w:val="0"/>
              <w:spacing w:before="0" w:after="0" w:line="240" w:lineRule="auto"/>
              <w:rPr>
                <w:rFonts w:ascii="宋体" w:hAnsi="宋体" w:cs="宋体"/>
                <w:sz w:val="20"/>
                <w:szCs w:val="21"/>
              </w:rPr>
            </w:pPr>
            <w:r>
              <w:rPr>
                <w:rFonts w:hint="eastAsia" w:ascii="宋体" w:hAnsi="宋体" w:cs="宋体"/>
                <w:szCs w:val="21"/>
              </w:rPr>
              <w:t>年龄18—30岁之间，身高160cm以上，限女，文化程度高中及以上，身体健康，五官端正，无违法犯罪记录，具备一定的语言、文字表达能力和沟通能力，性格开朗随和，服务态度好。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8</w:t>
            </w:r>
          </w:p>
        </w:tc>
        <w:tc>
          <w:tcPr>
            <w:tcW w:w="1163" w:type="dxa"/>
            <w:vAlign w:val="center"/>
          </w:tcPr>
          <w:p>
            <w:pPr>
              <w:spacing w:before="0" w:after="0" w:line="240" w:lineRule="auto"/>
              <w:rPr>
                <w:rFonts w:ascii="宋体" w:hAnsi="宋体" w:cs="宋体"/>
                <w:bCs/>
                <w:snapToGrid w:val="0"/>
                <w:kern w:val="0"/>
                <w:sz w:val="20"/>
                <w:szCs w:val="21"/>
              </w:rPr>
            </w:pPr>
            <w:r>
              <w:rPr>
                <w:rFonts w:hint="eastAsia" w:ascii="宋体" w:hAnsi="宋体" w:cs="宋体"/>
                <w:bCs/>
                <w:snapToGrid w:val="0"/>
                <w:kern w:val="0"/>
                <w:sz w:val="20"/>
                <w:szCs w:val="21"/>
              </w:rPr>
              <w:t>工程人员</w:t>
            </w:r>
          </w:p>
        </w:tc>
        <w:tc>
          <w:tcPr>
            <w:tcW w:w="1356"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w:t>
            </w:r>
          </w:p>
        </w:tc>
        <w:tc>
          <w:tcPr>
            <w:tcW w:w="1318"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3</w:t>
            </w:r>
          </w:p>
        </w:tc>
        <w:tc>
          <w:tcPr>
            <w:tcW w:w="4864" w:type="dxa"/>
            <w:vAlign w:val="center"/>
          </w:tcPr>
          <w:p>
            <w:pPr>
              <w:adjustRightInd w:val="0"/>
              <w:snapToGrid w:val="0"/>
              <w:spacing w:before="0" w:after="0" w:line="240" w:lineRule="auto"/>
              <w:rPr>
                <w:rFonts w:ascii="宋体" w:hAnsi="宋体" w:cs="宋体"/>
                <w:sz w:val="20"/>
                <w:szCs w:val="21"/>
              </w:rPr>
            </w:pPr>
            <w:r>
              <w:rPr>
                <w:rFonts w:hint="eastAsia" w:ascii="宋体" w:hAnsi="宋体" w:cs="宋体"/>
                <w:sz w:val="20"/>
                <w:szCs w:val="21"/>
              </w:rPr>
              <w:t>年龄18-50岁之间，男女不限，无违法犯罪记录，技术纯熟，具备低压操作证及一定工作经验。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9</w:t>
            </w:r>
          </w:p>
        </w:tc>
        <w:tc>
          <w:tcPr>
            <w:tcW w:w="1163" w:type="dxa"/>
            <w:vAlign w:val="center"/>
          </w:tcPr>
          <w:p>
            <w:pPr>
              <w:spacing w:before="0" w:after="0" w:line="240" w:lineRule="auto"/>
              <w:rPr>
                <w:rFonts w:ascii="宋体" w:hAnsi="宋体" w:cs="宋体"/>
                <w:bCs/>
                <w:snapToGrid w:val="0"/>
                <w:kern w:val="0"/>
                <w:sz w:val="20"/>
                <w:szCs w:val="21"/>
              </w:rPr>
            </w:pPr>
            <w:r>
              <w:rPr>
                <w:rFonts w:hint="eastAsia" w:ascii="宋体" w:hAnsi="宋体" w:cs="宋体"/>
                <w:bCs/>
                <w:snapToGrid w:val="0"/>
                <w:kern w:val="0"/>
                <w:sz w:val="20"/>
                <w:szCs w:val="21"/>
              </w:rPr>
              <w:t>食堂人员</w:t>
            </w:r>
          </w:p>
        </w:tc>
        <w:tc>
          <w:tcPr>
            <w:tcW w:w="1356" w:type="dxa"/>
            <w:vAlign w:val="center"/>
          </w:tcPr>
          <w:p>
            <w:pPr>
              <w:adjustRightInd w:val="0"/>
              <w:snapToGrid w:val="0"/>
              <w:spacing w:before="0" w:after="0" w:line="240" w:lineRule="auto"/>
              <w:jc w:val="center"/>
              <w:rPr>
                <w:rFonts w:hint="eastAsia" w:ascii="宋体" w:hAnsi="宋体" w:eastAsia="宋体" w:cs="宋体"/>
                <w:sz w:val="20"/>
                <w:szCs w:val="21"/>
                <w:lang w:eastAsia="zh-CN"/>
              </w:rPr>
            </w:pPr>
            <w:r>
              <w:rPr>
                <w:rFonts w:hint="eastAsia" w:ascii="宋体" w:hAnsi="宋体" w:cs="宋体"/>
                <w:sz w:val="20"/>
                <w:szCs w:val="21"/>
                <w:lang w:val="en-US" w:eastAsia="zh-CN"/>
              </w:rPr>
              <w:t>/</w:t>
            </w:r>
          </w:p>
        </w:tc>
        <w:tc>
          <w:tcPr>
            <w:tcW w:w="1318"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10</w:t>
            </w:r>
          </w:p>
        </w:tc>
        <w:tc>
          <w:tcPr>
            <w:tcW w:w="4864" w:type="dxa"/>
            <w:vAlign w:val="center"/>
          </w:tcPr>
          <w:p>
            <w:pPr>
              <w:adjustRightInd w:val="0"/>
              <w:snapToGrid w:val="0"/>
              <w:spacing w:before="0" w:after="0" w:line="240" w:lineRule="auto"/>
              <w:rPr>
                <w:rFonts w:ascii="宋体" w:hAnsi="宋体" w:cs="宋体"/>
                <w:sz w:val="20"/>
                <w:szCs w:val="21"/>
              </w:rPr>
            </w:pPr>
            <w:r>
              <w:rPr>
                <w:rFonts w:hint="eastAsia" w:ascii="宋体" w:hAnsi="宋体" w:cs="宋体"/>
                <w:sz w:val="20"/>
              </w:rPr>
              <w:t>年龄18岁以上，男女不限，身体健康，无传染病史，无不良嗜好，无违法犯罪记录，具备岗位相关工作经验，厨师需具备厨师证。</w:t>
            </w:r>
            <w:r>
              <w:rPr>
                <w:rFonts w:hint="eastAsia" w:ascii="宋体" w:hAnsi="宋体" w:cs="宋体"/>
                <w:color w:val="000000"/>
                <w:kern w:val="0"/>
                <w:sz w:val="20"/>
                <w:szCs w:val="21"/>
              </w:rPr>
              <w:t>*(实质性要求）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10</w:t>
            </w:r>
          </w:p>
        </w:tc>
        <w:tc>
          <w:tcPr>
            <w:tcW w:w="1163" w:type="dxa"/>
            <w:vAlign w:val="center"/>
          </w:tcPr>
          <w:p>
            <w:pPr>
              <w:spacing w:before="0" w:after="0" w:line="240" w:lineRule="auto"/>
              <w:rPr>
                <w:rFonts w:ascii="宋体" w:hAnsi="宋体" w:cs="宋体"/>
                <w:bCs/>
                <w:snapToGrid w:val="0"/>
                <w:kern w:val="0"/>
                <w:sz w:val="20"/>
                <w:szCs w:val="21"/>
              </w:rPr>
            </w:pPr>
            <w:r>
              <w:rPr>
                <w:rFonts w:hint="eastAsia" w:ascii="宋体" w:hAnsi="宋体" w:cs="宋体"/>
                <w:bCs/>
                <w:snapToGrid w:val="0"/>
                <w:kern w:val="0"/>
                <w:sz w:val="20"/>
                <w:szCs w:val="21"/>
              </w:rPr>
              <w:t>绿化人员</w:t>
            </w:r>
          </w:p>
        </w:tc>
        <w:tc>
          <w:tcPr>
            <w:tcW w:w="1356"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w:t>
            </w:r>
          </w:p>
        </w:tc>
        <w:tc>
          <w:tcPr>
            <w:tcW w:w="1318"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3</w:t>
            </w:r>
          </w:p>
        </w:tc>
        <w:tc>
          <w:tcPr>
            <w:tcW w:w="4864" w:type="dxa"/>
            <w:vAlign w:val="center"/>
          </w:tcPr>
          <w:p>
            <w:pPr>
              <w:adjustRightInd w:val="0"/>
              <w:snapToGrid w:val="0"/>
              <w:spacing w:before="0" w:after="0" w:line="240" w:lineRule="auto"/>
              <w:rPr>
                <w:rFonts w:ascii="宋体" w:hAnsi="宋体" w:cs="宋体"/>
                <w:sz w:val="20"/>
                <w:szCs w:val="21"/>
              </w:rPr>
            </w:pPr>
            <w:r>
              <w:rPr>
                <w:rFonts w:hint="eastAsia" w:ascii="宋体" w:hAnsi="宋体" w:cs="宋体"/>
                <w:sz w:val="20"/>
                <w:szCs w:val="21"/>
              </w:rPr>
              <w:t>年龄18岁以上，男女不限，身体健康，无违法犯罪记录，具备岗位相关工作经验。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adjustRightInd w:val="0"/>
              <w:snapToGrid w:val="0"/>
              <w:spacing w:before="0" w:after="0" w:line="240" w:lineRule="auto"/>
              <w:jc w:val="center"/>
              <w:rPr>
                <w:rFonts w:ascii="宋体" w:hAnsi="宋体" w:cs="宋体"/>
                <w:sz w:val="20"/>
                <w:szCs w:val="21"/>
              </w:rPr>
            </w:pPr>
            <w:r>
              <w:rPr>
                <w:rFonts w:hint="eastAsia" w:ascii="宋体" w:hAnsi="宋体" w:cs="宋体"/>
                <w:sz w:val="20"/>
                <w:szCs w:val="21"/>
              </w:rPr>
              <w:t>11</w:t>
            </w:r>
          </w:p>
        </w:tc>
        <w:tc>
          <w:tcPr>
            <w:tcW w:w="1163" w:type="dxa"/>
            <w:vAlign w:val="center"/>
          </w:tcPr>
          <w:p>
            <w:pPr>
              <w:spacing w:before="0" w:after="0" w:line="240" w:lineRule="auto"/>
              <w:rPr>
                <w:rFonts w:ascii="宋体" w:hAnsi="宋体" w:cs="宋体"/>
                <w:bCs/>
                <w:snapToGrid w:val="0"/>
                <w:kern w:val="0"/>
                <w:sz w:val="20"/>
                <w:szCs w:val="21"/>
              </w:rPr>
            </w:pPr>
            <w:r>
              <w:rPr>
                <w:rFonts w:hint="eastAsia" w:ascii="宋体" w:hAnsi="宋体" w:cs="宋体"/>
                <w:bCs/>
                <w:snapToGrid w:val="0"/>
                <w:kern w:val="0"/>
                <w:sz w:val="20"/>
                <w:szCs w:val="21"/>
              </w:rPr>
              <w:t>合计</w:t>
            </w:r>
          </w:p>
        </w:tc>
        <w:tc>
          <w:tcPr>
            <w:tcW w:w="1356" w:type="dxa"/>
            <w:vAlign w:val="center"/>
          </w:tcPr>
          <w:p>
            <w:pPr>
              <w:adjustRightInd w:val="0"/>
              <w:snapToGrid w:val="0"/>
              <w:spacing w:before="0" w:after="0" w:line="240" w:lineRule="auto"/>
              <w:jc w:val="center"/>
              <w:rPr>
                <w:rFonts w:hint="default" w:ascii="宋体" w:hAnsi="宋体" w:eastAsia="宋体" w:cs="宋体"/>
                <w:sz w:val="20"/>
                <w:szCs w:val="21"/>
                <w:lang w:val="en-US" w:eastAsia="zh-CN"/>
              </w:rPr>
            </w:pPr>
            <w:r>
              <w:rPr>
                <w:rFonts w:hint="eastAsia" w:ascii="宋体" w:hAnsi="宋体" w:cs="宋体"/>
                <w:sz w:val="20"/>
                <w:szCs w:val="21"/>
                <w:lang w:val="en-US" w:eastAsia="zh-CN"/>
              </w:rPr>
              <w:t>19</w:t>
            </w:r>
          </w:p>
        </w:tc>
        <w:tc>
          <w:tcPr>
            <w:tcW w:w="1318" w:type="dxa"/>
            <w:vAlign w:val="center"/>
          </w:tcPr>
          <w:p>
            <w:pPr>
              <w:adjustRightInd w:val="0"/>
              <w:snapToGrid w:val="0"/>
              <w:spacing w:before="0" w:after="0" w:line="240" w:lineRule="auto"/>
              <w:jc w:val="center"/>
              <w:rPr>
                <w:rFonts w:hint="eastAsia" w:ascii="宋体" w:hAnsi="宋体" w:eastAsia="宋体" w:cs="宋体"/>
                <w:sz w:val="20"/>
                <w:szCs w:val="21"/>
                <w:lang w:eastAsia="zh-CN"/>
              </w:rPr>
            </w:pPr>
            <w:r>
              <w:rPr>
                <w:rFonts w:hint="eastAsia" w:ascii="宋体" w:hAnsi="宋体" w:cs="宋体"/>
                <w:sz w:val="20"/>
                <w:szCs w:val="21"/>
              </w:rPr>
              <w:t>4</w:t>
            </w:r>
            <w:r>
              <w:rPr>
                <w:rFonts w:hint="eastAsia" w:ascii="宋体" w:hAnsi="宋体" w:cs="宋体"/>
                <w:sz w:val="20"/>
                <w:szCs w:val="21"/>
                <w:lang w:val="en-US" w:eastAsia="zh-CN"/>
              </w:rPr>
              <w:t>8</w:t>
            </w:r>
          </w:p>
        </w:tc>
        <w:tc>
          <w:tcPr>
            <w:tcW w:w="4864" w:type="dxa"/>
            <w:vAlign w:val="center"/>
          </w:tcPr>
          <w:p>
            <w:pPr>
              <w:adjustRightInd w:val="0"/>
              <w:snapToGrid w:val="0"/>
              <w:spacing w:before="0" w:after="0" w:line="240" w:lineRule="auto"/>
              <w:rPr>
                <w:rFonts w:ascii="宋体" w:hAnsi="宋体" w:cs="宋体"/>
                <w:sz w:val="20"/>
                <w:szCs w:val="21"/>
              </w:rPr>
            </w:pPr>
            <w:r>
              <w:rPr>
                <w:rFonts w:hint="eastAsia" w:ascii="宋体" w:hAnsi="宋体" w:cs="宋体"/>
                <w:sz w:val="20"/>
                <w:szCs w:val="21"/>
              </w:rPr>
              <w:t>所有进入生产区域的工作人员须通过安全教育培训方可上岗工作。</w:t>
            </w:r>
          </w:p>
        </w:tc>
      </w:tr>
    </w:tbl>
    <w:p>
      <w:pPr>
        <w:spacing w:before="0" w:after="0" w:line="240" w:lineRule="auto"/>
        <w:rPr>
          <w:rFonts w:ascii="宋体" w:hAnsi="宋体" w:cs="宋体"/>
          <w:szCs w:val="22"/>
        </w:rPr>
      </w:pPr>
      <w:r>
        <w:rPr>
          <w:rFonts w:hint="eastAsia" w:ascii="宋体" w:hAnsi="宋体" w:cs="宋体"/>
          <w:szCs w:val="22"/>
        </w:rPr>
        <w:t xml:space="preserve"> </w:t>
      </w:r>
    </w:p>
    <w:p>
      <w:pPr>
        <w:spacing w:before="0" w:after="0" w:line="240" w:lineRule="auto"/>
        <w:rPr>
          <w:rFonts w:ascii="宋体" w:hAnsi="宋体" w:cs="宋体"/>
          <w:sz w:val="24"/>
          <w:szCs w:val="24"/>
        </w:rPr>
      </w:pPr>
      <w:r>
        <w:rPr>
          <w:rFonts w:hint="eastAsia" w:ascii="宋体" w:hAnsi="宋体" w:cs="宋体"/>
          <w:sz w:val="24"/>
          <w:szCs w:val="24"/>
        </w:rPr>
        <w:t xml:space="preserve"> 3.2.1.</w:t>
      </w:r>
      <w:bookmarkStart w:id="247" w:name="_Toc31138"/>
      <w:bookmarkStart w:id="248" w:name="_Toc19198"/>
      <w:bookmarkStart w:id="249" w:name="_Toc11421"/>
      <w:bookmarkStart w:id="250" w:name="_Toc7917"/>
      <w:bookmarkStart w:id="251" w:name="_Toc20400_WPSOffice_Level2"/>
      <w:bookmarkStart w:id="252" w:name="_Toc5273"/>
      <w:bookmarkStart w:id="253" w:name="_Toc26811"/>
      <w:bookmarkStart w:id="254" w:name="_Toc18868"/>
      <w:bookmarkStart w:id="255" w:name="_Toc3359"/>
      <w:bookmarkStart w:id="256" w:name="_Toc24104"/>
      <w:r>
        <w:rPr>
          <w:rFonts w:hint="eastAsia" w:ascii="宋体" w:hAnsi="宋体" w:cs="宋体"/>
          <w:sz w:val="24"/>
          <w:szCs w:val="24"/>
        </w:rPr>
        <w:t>2安全文明管理</w:t>
      </w:r>
      <w:bookmarkEnd w:id="247"/>
      <w:bookmarkEnd w:id="248"/>
      <w:bookmarkEnd w:id="249"/>
      <w:bookmarkEnd w:id="250"/>
      <w:bookmarkEnd w:id="251"/>
      <w:bookmarkEnd w:id="252"/>
      <w:bookmarkEnd w:id="253"/>
      <w:bookmarkEnd w:id="254"/>
      <w:bookmarkEnd w:id="255"/>
      <w:bookmarkEnd w:id="256"/>
    </w:p>
    <w:p>
      <w:pPr>
        <w:widowControl w:val="0"/>
        <w:numPr>
          <w:ilvl w:val="0"/>
          <w:numId w:val="6"/>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投标人应当贯彻执行“安全第一、预防为主、综合治理”的方针，严格执行国家、行业相关安全规定及招标人相关安全管理制度，全面负责本项目范围内实施过程中的安全文明、环境保护、工业卫生等的管理工作，确保不发生人身及设备事故。</w:t>
      </w:r>
    </w:p>
    <w:p>
      <w:pPr>
        <w:widowControl w:val="0"/>
        <w:numPr>
          <w:ilvl w:val="0"/>
          <w:numId w:val="6"/>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投标人应明确各级安全职责和安全控制重点，建立完整的安全保证体系和监督体系，制定完善的安全文明施工管理制度，并严格执行；做好安全技术交底，加强内部安全培训；建立安全机构，按规定配备安全管理人员；配备符合国家规定的合格劳动防护用品和工器具。</w:t>
      </w:r>
    </w:p>
    <w:p>
      <w:pPr>
        <w:widowControl w:val="0"/>
        <w:numPr>
          <w:ilvl w:val="0"/>
          <w:numId w:val="6"/>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投标人在项目实施过程中，不得擅动、破坏运行设备及周围环境设施。</w:t>
      </w:r>
    </w:p>
    <w:p>
      <w:pPr>
        <w:widowControl w:val="0"/>
        <w:numPr>
          <w:ilvl w:val="0"/>
          <w:numId w:val="6"/>
        </w:numPr>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项目实施过程中，招标人有权对安全文明工作进行检查，有权对不规范的作业提出改进意见和考核，投标人应遵照执行。</w:t>
      </w:r>
    </w:p>
    <w:p>
      <w:pPr>
        <w:widowControl w:val="0"/>
        <w:adjustRightInd w:val="0"/>
        <w:snapToGrid w:val="0"/>
        <w:spacing w:before="0" w:after="0" w:line="360" w:lineRule="auto"/>
        <w:ind w:firstLine="480" w:firstLineChars="200"/>
        <w:jc w:val="left"/>
        <w:rPr>
          <w:rFonts w:ascii="宋体" w:hAnsi="宋体" w:cs="宋体"/>
          <w:color w:val="FF0000"/>
          <w:sz w:val="24"/>
          <w:szCs w:val="24"/>
        </w:rPr>
      </w:pPr>
      <w:r>
        <w:rPr>
          <w:rFonts w:hint="eastAsia" w:ascii="宋体" w:hAnsi="宋体" w:cs="宋体"/>
          <w:sz w:val="24"/>
          <w:szCs w:val="24"/>
        </w:rPr>
        <w:t>（5）安保人员在处置突发事件时应注意保护人身安全。</w:t>
      </w:r>
    </w:p>
    <w:p>
      <w:pPr>
        <w:widowControl w:val="0"/>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（6）在生产区域巡逻值守时应遵守生产区域安全规范。</w:t>
      </w:r>
    </w:p>
    <w:p>
      <w:pPr>
        <w:widowControl w:val="0"/>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（7）保洁人员在生产现场清扫时，一旦人为造成设备停运损坏事故，造成的经济损失由投标人全部承担。</w:t>
      </w:r>
    </w:p>
    <w:p>
      <w:pPr>
        <w:widowControl w:val="0"/>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（8）在保洁过程中发现设备缺陷（如跑、冒、滴、漏等）应及时汇报招标人。</w:t>
      </w:r>
    </w:p>
    <w:p>
      <w:pPr>
        <w:widowControl w:val="0"/>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（9）对于危险性极大的保洁工作，投标人应制定安全措施，招标人审核同意后方可执行。</w:t>
      </w:r>
    </w:p>
    <w:p>
      <w:pPr>
        <w:widowControl w:val="0"/>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提供承诺函）安全性：做好设施设备日常安全检查和报修，因供应商原因引起的一切安全事故（包含但不限于食品安全事故、人员伤亡、火灾事故等）由供应商负责。且采购人可单方面解除合同并追究供应商违约责任。</w:t>
      </w:r>
    </w:p>
    <w:p>
      <w:pPr>
        <w:widowControl w:val="0"/>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附件1：金沙水力发电厂物业管理服务标准</w:t>
      </w:r>
    </w:p>
    <w:p>
      <w:pPr>
        <w:widowControl w:val="0"/>
        <w:adjustRightInd w:val="0"/>
        <w:snapToGrid w:val="0"/>
        <w:spacing w:before="0" w:after="0" w:line="360" w:lineRule="auto"/>
        <w:ind w:firstLine="480" w:firstLineChars="200"/>
        <w:rPr>
          <w:rFonts w:ascii="宋体" w:hAnsi="宋体" w:cs="宋体"/>
          <w:sz w:val="24"/>
          <w:szCs w:val="24"/>
        </w:rPr>
      </w:pPr>
      <w:r>
        <w:rPr>
          <w:rFonts w:hint="eastAsia" w:ascii="宋体" w:hAnsi="宋体" w:cs="宋体"/>
          <w:sz w:val="24"/>
          <w:szCs w:val="24"/>
        </w:rPr>
        <w:t>附件2：公司营地物业管理服务标准</w:t>
      </w:r>
    </w:p>
    <w:p>
      <w:pPr>
        <w:spacing w:before="0" w:after="0" w:line="240" w:lineRule="auto"/>
        <w:rPr>
          <w:rFonts w:ascii="宋体" w:hAnsi="宋体" w:cs="宋体"/>
          <w:sz w:val="24"/>
          <w:szCs w:val="24"/>
        </w:rPr>
      </w:pPr>
      <w:r>
        <w:rPr>
          <w:rFonts w:hint="eastAsia" w:ascii="宋体" w:hAnsi="宋体" w:cs="宋体"/>
          <w:sz w:val="24"/>
          <w:szCs w:val="24"/>
        </w:rPr>
        <w:t>附件1：</w:t>
      </w:r>
    </w:p>
    <w:p>
      <w:pPr>
        <w:spacing w:before="0" w:after="0" w:line="240" w:lineRule="auto"/>
        <w:jc w:val="center"/>
        <w:rPr>
          <w:rFonts w:ascii="宋体" w:hAnsi="宋体" w:cs="宋体"/>
          <w:sz w:val="24"/>
          <w:szCs w:val="24"/>
        </w:rPr>
      </w:pPr>
      <w:r>
        <w:rPr>
          <w:rFonts w:hint="eastAsia" w:ascii="宋体" w:hAnsi="宋体" w:cs="宋体"/>
          <w:sz w:val="24"/>
          <w:szCs w:val="24"/>
        </w:rPr>
        <w:t>金沙水力发电厂物业管理服务标准</w:t>
      </w:r>
    </w:p>
    <w:p>
      <w:pPr>
        <w:spacing w:before="0" w:after="0" w:line="240" w:lineRule="auto"/>
        <w:rPr>
          <w:rFonts w:ascii="宋体" w:hAnsi="宋体" w:cs="宋体"/>
          <w:sz w:val="24"/>
          <w:szCs w:val="24"/>
        </w:rPr>
      </w:pPr>
      <w:r>
        <w:rPr>
          <w:rFonts w:hint="eastAsia" w:ascii="宋体" w:hAnsi="宋体" w:cs="宋体"/>
          <w:sz w:val="24"/>
          <w:szCs w:val="24"/>
        </w:rPr>
        <w:t>1.保洁服务标准如下：</w:t>
      </w:r>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44"/>
        <w:gridCol w:w="2515"/>
        <w:gridCol w:w="335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2198" w:type="dxa"/>
            <w:gridSpan w:val="2"/>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名称</w:t>
            </w:r>
          </w:p>
        </w:tc>
        <w:tc>
          <w:tcPr>
            <w:tcW w:w="2515"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清洁标准</w:t>
            </w:r>
          </w:p>
        </w:tc>
        <w:tc>
          <w:tcPr>
            <w:tcW w:w="3350"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清洁要求</w:t>
            </w:r>
          </w:p>
        </w:tc>
        <w:tc>
          <w:tcPr>
            <w:tcW w:w="1451"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办公</w:t>
            </w:r>
          </w:p>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室及车间室内</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地</w:t>
            </w:r>
            <w:r>
              <w:rPr>
                <w:rFonts w:ascii="Calibri" w:hAnsi="Calibri" w:cs="宋体"/>
                <w:sz w:val="20"/>
                <w:szCs w:val="24"/>
              </w:rPr>
              <w:t xml:space="preserve"> </w:t>
            </w:r>
            <w:r>
              <w:rPr>
                <w:rFonts w:hint="eastAsia" w:ascii="Calibri" w:hAnsi="Calibri" w:cs="宋体"/>
                <w:sz w:val="20"/>
                <w:szCs w:val="24"/>
              </w:rPr>
              <w:t>面</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无杂物、纸屑，无污渍、水迹</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每天清理垃圾、拖拭两次，循环保洁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门、窗</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无灰尘、污迹、斑点</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墙面、玻璃窗</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光洁、明亮，无明显污渍</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每周刮拭一次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文件柜、饮水机、办公设备</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无明显灰尘</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桌椅、沙发、茶几等家具</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桌面</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空调风口</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无积灰、无污渍</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每月扫尘一次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花瓶</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无灰尘、无污渍</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室内楼道</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通道地面</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无杂物、无泥沙</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每天清扫一次、清拖一次、循环保洁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通道墙面</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无污迹、无积灰</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每周清洁一次，不定期保洁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玻璃窗</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干净明亮、无明显污迹、无蜘蛛网</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每半月一次、循环保洁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扶手栏杆</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干净、无积尘、无蜘蛛网</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电梯间及两部电梯</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无污渍、无手印、地板干净</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不锈钢金属制品</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明亮、无污迹、锈迹</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每周上不锈钢油一次、每天清洁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灯罩外表面</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无明显积尘、无蜘蛛网</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每月清洁一次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标示牌、宣传栏</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干净、无积尘、无粘贴物</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开关</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干净、无积尘</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消防栓</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无积尘、顶部无明显积尘、消防栓内无蜘蛛网</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每周清洁两次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踢脚线</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无积尘、无污渍</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垃圾桶</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外表干净、无大杂物堆放、无异味</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每周清洁一次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卫生</w:t>
            </w:r>
          </w:p>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间</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地面</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干净、无污渍、无水迹</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每天拖拭，循环保洁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墙身</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干净、无污渍</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蹲位</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干净，无污渍，无异味</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每天循环冲洗，循环保洁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目视，嗅检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尿槽</w:t>
            </w:r>
          </w:p>
        </w:tc>
        <w:tc>
          <w:tcPr>
            <w:tcW w:w="2515" w:type="dxa"/>
            <w:vAlign w:val="center"/>
          </w:tcPr>
          <w:p>
            <w:pPr>
              <w:widowControl w:val="0"/>
              <w:adjustRightInd w:val="0"/>
              <w:snapToGrid w:val="0"/>
              <w:spacing w:before="0" w:after="0" w:line="240" w:lineRule="auto"/>
              <w:jc w:val="center"/>
              <w:rPr>
                <w:rFonts w:ascii="Calibri" w:hAnsi="Calibri" w:cs="宋体"/>
                <w:w w:val="80"/>
                <w:sz w:val="20"/>
                <w:szCs w:val="24"/>
              </w:rPr>
            </w:pPr>
            <w:r>
              <w:rPr>
                <w:rFonts w:hint="eastAsia" w:ascii="Calibri" w:hAnsi="Calibri" w:cs="宋体"/>
                <w:sz w:val="20"/>
                <w:szCs w:val="24"/>
              </w:rPr>
              <w:t>无尿圬、无杂物，无异味</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每天循环冲洗，循环保洁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目视，嗅检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纸篓</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不溢出</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定期检查，倾倒</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隔板</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无污渍，无字迹</w:t>
            </w:r>
          </w:p>
        </w:tc>
        <w:tc>
          <w:tcPr>
            <w:tcW w:w="3350" w:type="dxa"/>
            <w:vAlign w:val="center"/>
          </w:tcPr>
          <w:p>
            <w:pPr>
              <w:widowControl w:val="0"/>
              <w:adjustRightInd w:val="0"/>
              <w:snapToGrid w:val="0"/>
              <w:spacing w:before="0" w:after="0" w:line="240" w:lineRule="auto"/>
              <w:jc w:val="center"/>
              <w:rPr>
                <w:rFonts w:ascii="Calibri" w:hAnsi="Calibri" w:cs="宋体"/>
                <w:w w:val="80"/>
                <w:sz w:val="20"/>
                <w:szCs w:val="24"/>
              </w:rPr>
            </w:pPr>
            <w:r>
              <w:rPr>
                <w:rFonts w:hint="eastAsia" w:ascii="Calibri" w:hAnsi="Calibri" w:cs="宋体"/>
                <w:sz w:val="20"/>
                <w:szCs w:val="24"/>
              </w:rPr>
              <w:t>每天擦拭一次，无明显积灰</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玻璃镜面</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干净，无水渍</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每周刮拭两次，循环保洁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洗手台</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干净，无污迹，无水渍</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p>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外围环境</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路面</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无杂物、无泥沙</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每天清扫一次，循环保洁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扶手栏杆</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干净，无积尘、无蜘蛛网</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不锈钢金属制品</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明亮，无污迹、锈迹</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每周上不锈钢油一次，每天清洁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低位灯罩外表</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无明显积尘，无蜘蛛网</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高位灯罩外表</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无明显积尘，无蜘蛛网</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每月清洁一次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标示牌</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明亮，干净，无明显积尘</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消防栓</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无积尘，顶部无明显积尘，无蜘蛛网</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每周清洁两次</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垃圾桶</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外表干净，无大杂物堆放，无异味</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54" w:type="dxa"/>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休闲座椅</w:t>
            </w:r>
          </w:p>
        </w:tc>
        <w:tc>
          <w:tcPr>
            <w:tcW w:w="251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无灰尘、干净</w:t>
            </w:r>
          </w:p>
        </w:tc>
        <w:tc>
          <w:tcPr>
            <w:tcW w:w="335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每天擦拭，循环保洁</w:t>
            </w:r>
          </w:p>
        </w:tc>
        <w:tc>
          <w:tcPr>
            <w:tcW w:w="145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bl>
    <w:p>
      <w:pPr>
        <w:spacing w:before="0" w:after="0" w:line="240" w:lineRule="auto"/>
        <w:rPr>
          <w:rFonts w:ascii="宋体" w:hAnsi="宋体" w:cs="宋体"/>
          <w:sz w:val="24"/>
          <w:szCs w:val="24"/>
        </w:rPr>
      </w:pPr>
    </w:p>
    <w:p>
      <w:pPr>
        <w:spacing w:before="0" w:after="0" w:line="240" w:lineRule="auto"/>
        <w:rPr>
          <w:rFonts w:ascii="宋体" w:hAnsi="宋体" w:cs="宋体"/>
          <w:sz w:val="24"/>
          <w:szCs w:val="24"/>
        </w:rPr>
      </w:pPr>
      <w:r>
        <w:rPr>
          <w:rFonts w:hint="eastAsia" w:ascii="宋体" w:hAnsi="宋体" w:cs="宋体"/>
          <w:sz w:val="24"/>
          <w:szCs w:val="24"/>
        </w:rPr>
        <w:t>2.保卫服务标准如下：</w:t>
      </w:r>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44"/>
        <w:gridCol w:w="2091"/>
        <w:gridCol w:w="35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2198" w:type="dxa"/>
            <w:gridSpan w:val="2"/>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名称</w:t>
            </w:r>
          </w:p>
        </w:tc>
        <w:tc>
          <w:tcPr>
            <w:tcW w:w="2091"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保卫标准</w:t>
            </w:r>
          </w:p>
        </w:tc>
        <w:tc>
          <w:tcPr>
            <w:tcW w:w="3532"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保卫要求</w:t>
            </w:r>
          </w:p>
        </w:tc>
        <w:tc>
          <w:tcPr>
            <w:tcW w:w="1693"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秩序维护</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门卫值守</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外来人员车辆登记</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ascii="Calibri" w:hAnsi="Calibri" w:cs="宋体"/>
                <w:sz w:val="20"/>
                <w:szCs w:val="24"/>
              </w:rPr>
              <w:t>24小时驻守，检查人员、车辆</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坝区及办公区</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无非法人员进入</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每天巡逻（包括白天和夜间）</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水域管理</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无非法人员进入</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电站上游</w:t>
            </w:r>
            <w:r>
              <w:rPr>
                <w:rFonts w:ascii="Calibri" w:hAnsi="Calibri" w:cs="宋体"/>
                <w:sz w:val="20"/>
                <w:szCs w:val="24"/>
              </w:rPr>
              <w:t>450米、下游500米水域禁止人员游泳、划船、捕钓</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车辆道路管理</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入厂道路</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道路通畅</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禁止车辆停留、堵塞道路</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车辆放行</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无证车辆禁止驶入</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按电厂车辆出入通行管理制度执行</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车辆停放</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定点停放</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管理车辆按电厂车位整齐停放</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消防管理</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消防技能</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预防物业火灾</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发现火灾，正确使用灭火器材</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消防设备</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设备可靠有效</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配合</w:t>
            </w:r>
            <w:r>
              <w:rPr>
                <w:rFonts w:hint="eastAsia" w:ascii="Calibri" w:hAnsi="Calibri" w:cs="宋体"/>
                <w:sz w:val="20"/>
                <w:szCs w:val="24"/>
                <w:lang w:eastAsia="zh-CN"/>
              </w:rPr>
              <w:t>川能攀枝花公司</w:t>
            </w:r>
            <w:r>
              <w:rPr>
                <w:rFonts w:hint="eastAsia" w:ascii="Calibri" w:hAnsi="Calibri" w:cs="宋体"/>
                <w:sz w:val="20"/>
                <w:szCs w:val="24"/>
              </w:rPr>
              <w:t>进行消防设备检查</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应急管理</w:t>
            </w:r>
          </w:p>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安保、维稳</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做好应急处置及协调</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承担安保、维稳事件的应急处置及属地公安部门的协调工作</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应急工作</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配合培训及处置工作</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参加电厂组织的消防培训、应急演练及紧急事件的应急救援工作</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bl>
    <w:p>
      <w:pPr>
        <w:spacing w:before="0" w:after="0" w:line="240" w:lineRule="auto"/>
        <w:rPr>
          <w:rFonts w:ascii="宋体" w:hAnsi="宋体" w:cs="宋体"/>
          <w:sz w:val="24"/>
          <w:szCs w:val="24"/>
        </w:rPr>
      </w:pPr>
      <w:r>
        <w:rPr>
          <w:rFonts w:hint="eastAsia" w:ascii="宋体" w:hAnsi="宋体" w:cs="宋体"/>
          <w:sz w:val="24"/>
          <w:szCs w:val="24"/>
        </w:rPr>
        <w:t>3.临时用工服务标准如下：</w:t>
      </w:r>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44"/>
        <w:gridCol w:w="2091"/>
        <w:gridCol w:w="35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2198" w:type="dxa"/>
            <w:gridSpan w:val="2"/>
            <w:vAlign w:val="center"/>
          </w:tcPr>
          <w:p>
            <w:pPr>
              <w:widowControl w:val="0"/>
              <w:adjustRightInd w:val="0"/>
              <w:snapToGrid w:val="0"/>
              <w:spacing w:before="0" w:after="0" w:line="240" w:lineRule="auto"/>
              <w:jc w:val="center"/>
              <w:rPr>
                <w:rFonts w:ascii="宋体" w:hAnsi="宋体" w:cs="宋体"/>
                <w:b/>
                <w:bCs/>
                <w:sz w:val="24"/>
                <w:szCs w:val="24"/>
              </w:rPr>
            </w:pPr>
            <w:r>
              <w:rPr>
                <w:rFonts w:hint="eastAsia" w:ascii="宋体" w:hAnsi="宋体" w:cs="宋体"/>
                <w:b/>
                <w:bCs/>
                <w:sz w:val="24"/>
                <w:szCs w:val="24"/>
              </w:rPr>
              <w:t>名称</w:t>
            </w:r>
          </w:p>
        </w:tc>
        <w:tc>
          <w:tcPr>
            <w:tcW w:w="2091" w:type="dxa"/>
            <w:vAlign w:val="center"/>
          </w:tcPr>
          <w:p>
            <w:pPr>
              <w:widowControl w:val="0"/>
              <w:adjustRightInd w:val="0"/>
              <w:snapToGrid w:val="0"/>
              <w:spacing w:before="0" w:after="0" w:line="240" w:lineRule="auto"/>
              <w:jc w:val="center"/>
              <w:rPr>
                <w:rFonts w:ascii="宋体" w:hAnsi="宋体" w:cs="宋体"/>
                <w:b/>
                <w:bCs/>
                <w:sz w:val="24"/>
                <w:szCs w:val="24"/>
              </w:rPr>
            </w:pPr>
            <w:r>
              <w:rPr>
                <w:rFonts w:hint="eastAsia" w:ascii="宋体" w:hAnsi="宋体" w:cs="宋体"/>
                <w:b/>
                <w:bCs/>
                <w:sz w:val="24"/>
                <w:szCs w:val="24"/>
              </w:rPr>
              <w:t>临工管理标准</w:t>
            </w:r>
          </w:p>
        </w:tc>
        <w:tc>
          <w:tcPr>
            <w:tcW w:w="3532" w:type="dxa"/>
            <w:vAlign w:val="center"/>
          </w:tcPr>
          <w:p>
            <w:pPr>
              <w:widowControl w:val="0"/>
              <w:adjustRightInd w:val="0"/>
              <w:snapToGrid w:val="0"/>
              <w:spacing w:before="0" w:after="0" w:line="240" w:lineRule="auto"/>
              <w:jc w:val="center"/>
              <w:rPr>
                <w:rFonts w:ascii="宋体" w:hAnsi="宋体" w:cs="宋体"/>
                <w:b/>
                <w:bCs/>
                <w:sz w:val="24"/>
                <w:szCs w:val="24"/>
              </w:rPr>
            </w:pPr>
            <w:r>
              <w:rPr>
                <w:rFonts w:hint="eastAsia" w:ascii="宋体" w:hAnsi="宋体" w:cs="宋体"/>
                <w:b/>
                <w:bCs/>
                <w:sz w:val="24"/>
                <w:szCs w:val="24"/>
              </w:rPr>
              <w:t>临工管理要求</w:t>
            </w:r>
          </w:p>
        </w:tc>
        <w:tc>
          <w:tcPr>
            <w:tcW w:w="1693" w:type="dxa"/>
            <w:vAlign w:val="center"/>
          </w:tcPr>
          <w:p>
            <w:pPr>
              <w:widowControl w:val="0"/>
              <w:adjustRightInd w:val="0"/>
              <w:snapToGrid w:val="0"/>
              <w:spacing w:before="0" w:after="0" w:line="240" w:lineRule="auto"/>
              <w:jc w:val="center"/>
              <w:rPr>
                <w:rFonts w:ascii="宋体" w:hAnsi="宋体" w:cs="宋体"/>
                <w:b/>
                <w:bCs/>
                <w:sz w:val="24"/>
                <w:szCs w:val="24"/>
              </w:rPr>
            </w:pPr>
            <w:r>
              <w:rPr>
                <w:rFonts w:hint="eastAsia" w:ascii="宋体" w:hAnsi="宋体" w:cs="宋体"/>
                <w:b/>
                <w:bCs/>
                <w:sz w:val="24"/>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宋体" w:hAnsi="宋体" w:cs="宋体"/>
                <w:sz w:val="24"/>
                <w:szCs w:val="24"/>
              </w:rPr>
            </w:pPr>
            <w:r>
              <w:rPr>
                <w:rFonts w:hint="eastAsia" w:ascii="宋体" w:hAnsi="宋体" w:cs="宋体"/>
                <w:sz w:val="24"/>
                <w:szCs w:val="24"/>
              </w:rPr>
              <w:t>临工管理</w:t>
            </w:r>
          </w:p>
        </w:tc>
        <w:tc>
          <w:tcPr>
            <w:tcW w:w="1544" w:type="dxa"/>
            <w:vAlign w:val="center"/>
          </w:tcPr>
          <w:p>
            <w:pPr>
              <w:widowControl w:val="0"/>
              <w:adjustRightInd w:val="0"/>
              <w:snapToGrid w:val="0"/>
              <w:spacing w:before="0" w:after="0" w:line="240" w:lineRule="auto"/>
              <w:jc w:val="center"/>
              <w:rPr>
                <w:rFonts w:ascii="宋体" w:hAnsi="宋体" w:cs="宋体"/>
                <w:sz w:val="24"/>
                <w:szCs w:val="24"/>
              </w:rPr>
            </w:pPr>
            <w:r>
              <w:rPr>
                <w:rFonts w:hint="eastAsia" w:ascii="宋体" w:hAnsi="宋体" w:cs="宋体"/>
                <w:sz w:val="24"/>
                <w:szCs w:val="24"/>
              </w:rPr>
              <w:t>敬业精神</w:t>
            </w:r>
          </w:p>
        </w:tc>
        <w:tc>
          <w:tcPr>
            <w:tcW w:w="2091" w:type="dxa"/>
            <w:vAlign w:val="center"/>
          </w:tcPr>
          <w:p>
            <w:pPr>
              <w:widowControl w:val="0"/>
              <w:adjustRightInd w:val="0"/>
              <w:snapToGrid w:val="0"/>
              <w:spacing w:before="0" w:after="0" w:line="240" w:lineRule="auto"/>
              <w:jc w:val="center"/>
              <w:rPr>
                <w:rFonts w:ascii="宋体" w:hAnsi="宋体" w:cs="宋体"/>
                <w:sz w:val="24"/>
                <w:szCs w:val="24"/>
              </w:rPr>
            </w:pPr>
            <w:r>
              <w:rPr>
                <w:rFonts w:hint="eastAsia" w:ascii="宋体" w:hAnsi="宋体" w:cs="宋体"/>
                <w:sz w:val="24"/>
                <w:szCs w:val="24"/>
              </w:rPr>
              <w:t>政治素质高</w:t>
            </w:r>
          </w:p>
        </w:tc>
        <w:tc>
          <w:tcPr>
            <w:tcW w:w="3532" w:type="dxa"/>
            <w:vAlign w:val="center"/>
          </w:tcPr>
          <w:p>
            <w:pPr>
              <w:widowControl w:val="0"/>
              <w:adjustRightInd w:val="0"/>
              <w:snapToGrid w:val="0"/>
              <w:spacing w:before="0" w:after="0" w:line="240" w:lineRule="auto"/>
              <w:jc w:val="center"/>
              <w:rPr>
                <w:rFonts w:ascii="宋体" w:hAnsi="宋体" w:cs="宋体"/>
                <w:sz w:val="24"/>
                <w:szCs w:val="24"/>
              </w:rPr>
            </w:pPr>
            <w:r>
              <w:rPr>
                <w:rFonts w:hint="eastAsia" w:ascii="宋体" w:hAnsi="宋体" w:cs="宋体"/>
                <w:sz w:val="24"/>
                <w:szCs w:val="24"/>
              </w:rPr>
              <w:t>服从管理，具备一定的语言、文字表达能力</w:t>
            </w:r>
          </w:p>
        </w:tc>
        <w:tc>
          <w:tcPr>
            <w:tcW w:w="1693" w:type="dxa"/>
            <w:vAlign w:val="center"/>
          </w:tcPr>
          <w:p>
            <w:pPr>
              <w:widowControl w:val="0"/>
              <w:adjustRightInd w:val="0"/>
              <w:snapToGrid w:val="0"/>
              <w:spacing w:before="0" w:after="0" w:line="240" w:lineRule="auto"/>
              <w:jc w:val="center"/>
              <w:rPr>
                <w:rFonts w:ascii="宋体" w:hAnsi="宋体" w:cs="宋体"/>
                <w:sz w:val="24"/>
                <w:szCs w:val="24"/>
              </w:rPr>
            </w:pPr>
            <w:r>
              <w:rPr>
                <w:rFonts w:hint="eastAsia" w:ascii="宋体" w:hAnsi="宋体" w:cs="宋体"/>
                <w:sz w:val="24"/>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宋体" w:hAnsi="宋体" w:cs="宋体"/>
                <w:sz w:val="24"/>
                <w:szCs w:val="24"/>
              </w:rPr>
            </w:pPr>
          </w:p>
        </w:tc>
        <w:tc>
          <w:tcPr>
            <w:tcW w:w="1544" w:type="dxa"/>
            <w:vAlign w:val="center"/>
          </w:tcPr>
          <w:p>
            <w:pPr>
              <w:widowControl w:val="0"/>
              <w:adjustRightInd w:val="0"/>
              <w:snapToGrid w:val="0"/>
              <w:spacing w:before="0" w:after="0" w:line="240" w:lineRule="auto"/>
              <w:jc w:val="center"/>
              <w:rPr>
                <w:rFonts w:ascii="宋体" w:hAnsi="宋体" w:cs="宋体"/>
                <w:sz w:val="24"/>
                <w:szCs w:val="24"/>
              </w:rPr>
            </w:pPr>
            <w:r>
              <w:rPr>
                <w:rFonts w:hint="eastAsia" w:ascii="宋体" w:hAnsi="宋体" w:cs="宋体"/>
                <w:sz w:val="24"/>
                <w:szCs w:val="24"/>
              </w:rPr>
              <w:t>业务能力</w:t>
            </w:r>
          </w:p>
        </w:tc>
        <w:tc>
          <w:tcPr>
            <w:tcW w:w="2091" w:type="dxa"/>
            <w:vAlign w:val="center"/>
          </w:tcPr>
          <w:p>
            <w:pPr>
              <w:widowControl w:val="0"/>
              <w:adjustRightInd w:val="0"/>
              <w:snapToGrid w:val="0"/>
              <w:spacing w:before="0" w:after="0" w:line="240" w:lineRule="auto"/>
              <w:jc w:val="center"/>
              <w:rPr>
                <w:rFonts w:ascii="宋体" w:hAnsi="宋体" w:cs="宋体"/>
                <w:sz w:val="24"/>
                <w:szCs w:val="24"/>
              </w:rPr>
            </w:pPr>
            <w:r>
              <w:rPr>
                <w:rFonts w:hint="eastAsia" w:ascii="宋体" w:hAnsi="宋体" w:cs="宋体"/>
                <w:sz w:val="24"/>
                <w:szCs w:val="24"/>
              </w:rPr>
              <w:t>工作能力强</w:t>
            </w:r>
          </w:p>
        </w:tc>
        <w:tc>
          <w:tcPr>
            <w:tcW w:w="3532" w:type="dxa"/>
            <w:vAlign w:val="center"/>
          </w:tcPr>
          <w:p>
            <w:pPr>
              <w:widowControl w:val="0"/>
              <w:adjustRightInd w:val="0"/>
              <w:snapToGrid w:val="0"/>
              <w:spacing w:before="0" w:after="0" w:line="240" w:lineRule="auto"/>
              <w:jc w:val="center"/>
              <w:rPr>
                <w:rFonts w:ascii="宋体" w:hAnsi="宋体" w:cs="宋体"/>
                <w:sz w:val="24"/>
                <w:szCs w:val="24"/>
              </w:rPr>
            </w:pPr>
            <w:r>
              <w:rPr>
                <w:rFonts w:hint="eastAsia" w:ascii="宋体" w:hAnsi="宋体" w:cs="宋体"/>
                <w:sz w:val="24"/>
                <w:szCs w:val="24"/>
              </w:rPr>
              <w:t>安全技能和业务能力强，能完成规定任务</w:t>
            </w:r>
          </w:p>
        </w:tc>
        <w:tc>
          <w:tcPr>
            <w:tcW w:w="1693" w:type="dxa"/>
            <w:vAlign w:val="center"/>
          </w:tcPr>
          <w:p>
            <w:pPr>
              <w:widowControl w:val="0"/>
              <w:adjustRightInd w:val="0"/>
              <w:snapToGrid w:val="0"/>
              <w:spacing w:before="0" w:after="0" w:line="240" w:lineRule="auto"/>
              <w:jc w:val="center"/>
              <w:rPr>
                <w:rFonts w:ascii="宋体" w:hAnsi="宋体" w:cs="宋体"/>
                <w:sz w:val="24"/>
                <w:szCs w:val="24"/>
              </w:rPr>
            </w:pPr>
            <w:r>
              <w:rPr>
                <w:rFonts w:hint="eastAsia" w:ascii="宋体" w:hAnsi="宋体" w:cs="宋体"/>
                <w:sz w:val="24"/>
                <w:szCs w:val="24"/>
              </w:rPr>
              <w:t>检查</w:t>
            </w:r>
          </w:p>
        </w:tc>
      </w:tr>
    </w:tbl>
    <w:p>
      <w:pPr>
        <w:spacing w:before="0" w:after="0" w:line="240" w:lineRule="auto"/>
        <w:rPr>
          <w:rFonts w:ascii="宋体" w:hAnsi="宋体" w:cs="宋体"/>
          <w:sz w:val="24"/>
          <w:szCs w:val="24"/>
        </w:rPr>
      </w:pPr>
    </w:p>
    <w:p>
      <w:pPr>
        <w:spacing w:before="0" w:after="0" w:line="240" w:lineRule="auto"/>
        <w:rPr>
          <w:rFonts w:ascii="宋体" w:hAnsi="宋体" w:cs="宋体"/>
          <w:sz w:val="24"/>
          <w:szCs w:val="24"/>
        </w:rPr>
      </w:pPr>
      <w:r>
        <w:rPr>
          <w:rFonts w:hint="eastAsia" w:ascii="宋体" w:hAnsi="宋体" w:cs="宋体"/>
          <w:sz w:val="24"/>
          <w:szCs w:val="24"/>
        </w:rPr>
        <w:t>附件2：</w:t>
      </w:r>
    </w:p>
    <w:p>
      <w:pPr>
        <w:spacing w:before="0" w:after="0" w:line="240" w:lineRule="auto"/>
        <w:jc w:val="center"/>
        <w:rPr>
          <w:rFonts w:ascii="宋体" w:hAnsi="宋体" w:cs="宋体"/>
          <w:sz w:val="24"/>
          <w:szCs w:val="24"/>
        </w:rPr>
      </w:pPr>
      <w:r>
        <w:rPr>
          <w:rFonts w:hint="eastAsia" w:ascii="宋体" w:hAnsi="宋体" w:cs="宋体"/>
          <w:sz w:val="24"/>
          <w:szCs w:val="24"/>
          <w:lang w:eastAsia="zh-CN"/>
        </w:rPr>
        <w:t>公司营地</w:t>
      </w:r>
      <w:r>
        <w:rPr>
          <w:rFonts w:hint="eastAsia" w:ascii="宋体" w:hAnsi="宋体" w:cs="宋体"/>
          <w:sz w:val="24"/>
          <w:szCs w:val="24"/>
        </w:rPr>
        <w:t>物业管理服务标准</w:t>
      </w:r>
    </w:p>
    <w:p>
      <w:pPr>
        <w:spacing w:before="0" w:after="0" w:line="240" w:lineRule="auto"/>
        <w:rPr>
          <w:rFonts w:ascii="宋体" w:hAnsi="宋体" w:cs="宋体"/>
          <w:sz w:val="24"/>
          <w:szCs w:val="24"/>
        </w:rPr>
      </w:pPr>
      <w:r>
        <w:rPr>
          <w:rFonts w:hint="eastAsia" w:ascii="宋体" w:hAnsi="宋体" w:cs="宋体"/>
          <w:sz w:val="24"/>
          <w:szCs w:val="24"/>
        </w:rPr>
        <w:t>1.保洁服务标准如下：</w:t>
      </w:r>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37"/>
        <w:gridCol w:w="2098"/>
        <w:gridCol w:w="35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2191" w:type="dxa"/>
            <w:gridSpan w:val="2"/>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名称</w:t>
            </w:r>
          </w:p>
        </w:tc>
        <w:tc>
          <w:tcPr>
            <w:tcW w:w="2098"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清洁标准</w:t>
            </w:r>
          </w:p>
        </w:tc>
        <w:tc>
          <w:tcPr>
            <w:tcW w:w="3532"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清洁要求</w:t>
            </w:r>
          </w:p>
        </w:tc>
        <w:tc>
          <w:tcPr>
            <w:tcW w:w="1693"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楼内卫生</w:t>
            </w: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地</w:t>
            </w:r>
            <w:r>
              <w:rPr>
                <w:rFonts w:ascii="Calibri" w:hAnsi="Calibri" w:cs="宋体"/>
                <w:sz w:val="20"/>
                <w:szCs w:val="24"/>
              </w:rPr>
              <w:t xml:space="preserve"> </w:t>
            </w:r>
            <w:r>
              <w:rPr>
                <w:rFonts w:hint="eastAsia" w:ascii="Calibri" w:hAnsi="Calibri" w:cs="宋体"/>
                <w:sz w:val="20"/>
                <w:szCs w:val="24"/>
              </w:rPr>
              <w:t>面</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无杂物、纸屑，无污渍、水迹</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每天清理垃圾、拖拭两次，循环保洁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门、窗</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无灰尘、污迹、斑点</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墙面、玻璃窗</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光洁、明亮，无明显污渍</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每月刮拭一次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各种设施外表（如信箱、消火栓等）</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无明显灰尘</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桌椅、沙发、茶几等家具</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桌面</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花盆</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无灰尘、无污渍</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室内楼道</w:t>
            </w: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通道地面</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无杂物、无泥沙</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每天清扫一次、清拖一次、循环保洁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通道墙面</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无污迹、无积灰</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每周清洁一次，不定期保洁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玻璃窗</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干净明亮、无明显污迹、无蜘蛛网</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每半月一次、循环保洁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扶手栏杆</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干净、无积尘、无蜘蛛网</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电梯间及电梯</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无污渍、无手印、地垫干净</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不锈钢金属制品</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明亮、无污迹、锈迹</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每周上不锈钢油一次、每天清洁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灯罩外表面</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无明显积尘、无蜘蛛网</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每月清洁一次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标示牌、宣传栏</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干净、无积尘、无粘贴物</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开关</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干净、无积尘</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消防栓</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无积尘、顶部无明显积尘</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每周清洁两次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踢脚线</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列积尘、无污渍</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垃圾桶</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外表干净、无大杂物堆放、无异味</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每周清洁一次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卫生</w:t>
            </w:r>
          </w:p>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间</w:t>
            </w: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地面</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干净、无污渍、无水迹</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每天拖拭，循环保洁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墙身</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干净、无污渍</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每周擦拭</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蹲位</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干净，无污渍，无异味</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每天循环冲洗，循环保洁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目视，嗅检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尿槽</w:t>
            </w:r>
          </w:p>
        </w:tc>
        <w:tc>
          <w:tcPr>
            <w:tcW w:w="2098" w:type="dxa"/>
            <w:vAlign w:val="center"/>
          </w:tcPr>
          <w:p>
            <w:pPr>
              <w:widowControl w:val="0"/>
              <w:adjustRightInd w:val="0"/>
              <w:snapToGrid w:val="0"/>
              <w:spacing w:before="0" w:after="0" w:line="240" w:lineRule="auto"/>
              <w:jc w:val="center"/>
              <w:rPr>
                <w:rFonts w:ascii="Calibri" w:hAnsi="Calibri" w:cs="宋体"/>
                <w:w w:val="80"/>
                <w:sz w:val="20"/>
                <w:szCs w:val="24"/>
              </w:rPr>
            </w:pPr>
            <w:r>
              <w:rPr>
                <w:rFonts w:hint="eastAsia" w:ascii="Calibri" w:hAnsi="Calibri" w:cs="宋体"/>
                <w:sz w:val="20"/>
                <w:szCs w:val="24"/>
              </w:rPr>
              <w:t>无尿圬、无杂物，无异味</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每天循环冲洗，循环保洁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目视，嗅检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纸篓</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不溢出</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定期检查，倾倒</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隔板</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无污渍，无字迹</w:t>
            </w:r>
          </w:p>
        </w:tc>
        <w:tc>
          <w:tcPr>
            <w:tcW w:w="3532" w:type="dxa"/>
            <w:vAlign w:val="center"/>
          </w:tcPr>
          <w:p>
            <w:pPr>
              <w:widowControl w:val="0"/>
              <w:adjustRightInd w:val="0"/>
              <w:snapToGrid w:val="0"/>
              <w:spacing w:before="0" w:after="0" w:line="240" w:lineRule="auto"/>
              <w:jc w:val="center"/>
              <w:rPr>
                <w:rFonts w:ascii="Calibri" w:hAnsi="Calibri" w:cs="宋体"/>
                <w:w w:val="80"/>
                <w:sz w:val="20"/>
                <w:szCs w:val="24"/>
              </w:rPr>
            </w:pPr>
            <w:r>
              <w:rPr>
                <w:rFonts w:hint="eastAsia" w:ascii="Calibri" w:hAnsi="Calibri" w:cs="宋体"/>
                <w:sz w:val="20"/>
                <w:szCs w:val="24"/>
              </w:rPr>
              <w:t>每天擦拭一次，无明显积灰</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玻璃镜面</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干净，无水渍</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每周刮拭两次，循环保洁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洗手台</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干净，无污迹，无水渍</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p>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外围环境</w:t>
            </w: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路面</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无杂物、无泥沙</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每天清扫一次，循环保洁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扶手栏杆</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干净，无积尘、无蜘蛛网</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低位灯罩外表</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无明显积尘，无蜘蛛网</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r>
              <w:rPr>
                <w:rFonts w:ascii="Calibri" w:hAnsi="Calibri" w:cs="宋体"/>
                <w:sz w:val="20"/>
                <w:szCs w:val="24"/>
              </w:rPr>
              <w:t xml:space="preserve">  </w:t>
            </w: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高位灯罩外表</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无明显积尘，无蜘蛛网</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每月清洁一次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标示牌</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明亮，干净，无明显积尘</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每天清洁一次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消防栓</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无积尘，顶部无明显积尘，无蜘蛛网</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每周清洁两次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垃圾桶</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外表干净，无大杂物堆放，无异味</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每天擦拭，循环保洁</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54" w:type="dxa"/>
            <w:vAlign w:val="center"/>
          </w:tcPr>
          <w:p>
            <w:pPr>
              <w:widowControl w:val="0"/>
              <w:adjustRightInd w:val="0"/>
              <w:snapToGrid w:val="0"/>
              <w:spacing w:before="0" w:after="0" w:line="240" w:lineRule="auto"/>
              <w:jc w:val="center"/>
              <w:rPr>
                <w:rFonts w:ascii="Calibri" w:hAnsi="Calibri" w:cs="宋体"/>
                <w:sz w:val="20"/>
                <w:szCs w:val="24"/>
              </w:rPr>
            </w:pPr>
          </w:p>
        </w:tc>
        <w:tc>
          <w:tcPr>
            <w:tcW w:w="1537"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公区休闲座椅</w:t>
            </w:r>
          </w:p>
        </w:tc>
        <w:tc>
          <w:tcPr>
            <w:tcW w:w="2098"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无灰尘、干净</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每天擦拭，循环保</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手擦拭</w:t>
            </w:r>
          </w:p>
        </w:tc>
      </w:tr>
    </w:tbl>
    <w:p>
      <w:pPr>
        <w:spacing w:before="0" w:after="0" w:line="240" w:lineRule="auto"/>
        <w:rPr>
          <w:rFonts w:ascii="宋体" w:hAnsi="宋体" w:cs="宋体"/>
          <w:sz w:val="24"/>
          <w:szCs w:val="24"/>
        </w:rPr>
      </w:pPr>
      <w:r>
        <w:rPr>
          <w:rFonts w:hint="eastAsia" w:ascii="宋体" w:hAnsi="宋体" w:cs="宋体"/>
          <w:sz w:val="24"/>
          <w:szCs w:val="24"/>
        </w:rPr>
        <w:t xml:space="preserve">     </w:t>
      </w:r>
    </w:p>
    <w:p>
      <w:pPr>
        <w:spacing w:before="0" w:after="0" w:line="240" w:lineRule="auto"/>
        <w:rPr>
          <w:rFonts w:ascii="宋体" w:hAnsi="宋体" w:cs="宋体"/>
          <w:sz w:val="24"/>
          <w:szCs w:val="24"/>
        </w:rPr>
      </w:pPr>
      <w:r>
        <w:rPr>
          <w:rFonts w:hint="eastAsia" w:ascii="宋体" w:hAnsi="宋体" w:cs="宋体"/>
          <w:sz w:val="24"/>
          <w:szCs w:val="24"/>
        </w:rPr>
        <w:t>2.保卫服务标准如下：</w:t>
      </w:r>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44"/>
        <w:gridCol w:w="2091"/>
        <w:gridCol w:w="35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2198" w:type="dxa"/>
            <w:gridSpan w:val="2"/>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名称</w:t>
            </w:r>
          </w:p>
        </w:tc>
        <w:tc>
          <w:tcPr>
            <w:tcW w:w="2091"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保卫标准</w:t>
            </w:r>
          </w:p>
        </w:tc>
        <w:tc>
          <w:tcPr>
            <w:tcW w:w="3532"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保卫要求</w:t>
            </w:r>
          </w:p>
        </w:tc>
        <w:tc>
          <w:tcPr>
            <w:tcW w:w="1693"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秩序维护</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门卫值守</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外来人员车辆登记</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ascii="Calibri" w:hAnsi="Calibri" w:cs="宋体"/>
                <w:sz w:val="20"/>
                <w:szCs w:val="24"/>
              </w:rPr>
              <w:t>24小时驻守，检查人员、车辆</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整个营地</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无非法人员进入</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每天巡逻（包括白天和夜间）</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车辆道路管理</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入厂道路</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道路通畅</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禁止车辆停留、堵塞道路</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车辆放行</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无证车辆禁止驶入</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按营地车辆出入通行管理制度执行</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车辆停放</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定点停放</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管理车辆按营地车位整齐停放</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消防管理</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消防技能</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预防物业火灾</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发现火灾，正确使用灭火器材</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消防设备</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设备可靠有效</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配合</w:t>
            </w:r>
            <w:r>
              <w:rPr>
                <w:rFonts w:hint="eastAsia" w:ascii="Calibri" w:hAnsi="Calibri" w:cs="宋体"/>
                <w:sz w:val="20"/>
                <w:szCs w:val="24"/>
                <w:lang w:eastAsia="zh-CN"/>
              </w:rPr>
              <w:t>川能攀枝花公司</w:t>
            </w:r>
            <w:r>
              <w:rPr>
                <w:rFonts w:hint="eastAsia" w:ascii="Calibri" w:hAnsi="Calibri" w:cs="宋体"/>
                <w:sz w:val="20"/>
                <w:szCs w:val="24"/>
              </w:rPr>
              <w:t>进行消防设备检查</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应急管理</w:t>
            </w:r>
          </w:p>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安保、维稳</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做好应急处置及协调</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承担安保、维稳事件的应急处置及属地公安部门的协调工作</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应急工作</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配合培训及处置工作</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参加营地组织的消防培训、应急演练及紧急事件的应急救援工作</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bl>
    <w:p>
      <w:pPr>
        <w:spacing w:before="0" w:after="0" w:line="240" w:lineRule="auto"/>
        <w:rPr>
          <w:rFonts w:ascii="宋体" w:hAnsi="宋体" w:cs="宋体"/>
          <w:sz w:val="24"/>
          <w:szCs w:val="24"/>
        </w:rPr>
      </w:pPr>
      <w:r>
        <w:rPr>
          <w:rFonts w:hint="eastAsia" w:ascii="宋体" w:hAnsi="宋体" w:cs="宋体"/>
          <w:sz w:val="24"/>
          <w:szCs w:val="24"/>
        </w:rPr>
        <w:t>3.会议服务标准如下：</w:t>
      </w:r>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44"/>
        <w:gridCol w:w="2091"/>
        <w:gridCol w:w="35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2198" w:type="dxa"/>
            <w:gridSpan w:val="2"/>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名称</w:t>
            </w:r>
          </w:p>
        </w:tc>
        <w:tc>
          <w:tcPr>
            <w:tcW w:w="2091"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会议服务管理标准</w:t>
            </w:r>
          </w:p>
        </w:tc>
        <w:tc>
          <w:tcPr>
            <w:tcW w:w="3532"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会议服务管理要求</w:t>
            </w:r>
          </w:p>
        </w:tc>
        <w:tc>
          <w:tcPr>
            <w:tcW w:w="1693"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会议管理</w:t>
            </w: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敬业精神</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政治素质高</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服从管理，具备一定的语言、文字表达能力</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1544"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业务能力</w:t>
            </w:r>
          </w:p>
        </w:tc>
        <w:tc>
          <w:tcPr>
            <w:tcW w:w="2091"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工作能力强</w:t>
            </w: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保密意识和业务能力强，能完成规定任务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bl>
    <w:p>
      <w:pPr>
        <w:spacing w:before="0" w:after="0" w:line="240" w:lineRule="auto"/>
        <w:rPr>
          <w:rFonts w:ascii="宋体" w:hAnsi="宋体" w:cs="宋体"/>
          <w:sz w:val="24"/>
          <w:szCs w:val="24"/>
        </w:rPr>
      </w:pPr>
    </w:p>
    <w:p>
      <w:pPr>
        <w:spacing w:before="0" w:after="0" w:line="240" w:lineRule="auto"/>
        <w:rPr>
          <w:rFonts w:ascii="宋体" w:hAnsi="宋体" w:cs="宋体"/>
          <w:sz w:val="24"/>
          <w:szCs w:val="24"/>
        </w:rPr>
      </w:pPr>
      <w:r>
        <w:rPr>
          <w:rFonts w:hint="eastAsia" w:ascii="宋体" w:hAnsi="宋体" w:cs="宋体"/>
          <w:sz w:val="24"/>
          <w:szCs w:val="24"/>
        </w:rPr>
        <w:t>4.设施设备服务标准如下：</w:t>
      </w:r>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470"/>
        <w:gridCol w:w="1165"/>
        <w:gridCol w:w="35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3124" w:type="dxa"/>
            <w:gridSpan w:val="2"/>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名称</w:t>
            </w:r>
          </w:p>
        </w:tc>
        <w:tc>
          <w:tcPr>
            <w:tcW w:w="1165"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设施设备管理标准</w:t>
            </w:r>
          </w:p>
        </w:tc>
        <w:tc>
          <w:tcPr>
            <w:tcW w:w="3532"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设施设备管理要求</w:t>
            </w:r>
          </w:p>
        </w:tc>
        <w:tc>
          <w:tcPr>
            <w:tcW w:w="1693" w:type="dxa"/>
            <w:vAlign w:val="center"/>
          </w:tcPr>
          <w:p>
            <w:pPr>
              <w:widowControl w:val="0"/>
              <w:adjustRightInd w:val="0"/>
              <w:snapToGrid w:val="0"/>
              <w:spacing w:before="0" w:after="0" w:line="240" w:lineRule="auto"/>
              <w:jc w:val="center"/>
              <w:rPr>
                <w:rFonts w:ascii="Calibri" w:hAnsi="Calibri" w:cs="宋体"/>
                <w:b/>
                <w:bCs/>
                <w:sz w:val="20"/>
                <w:szCs w:val="24"/>
              </w:rPr>
            </w:pPr>
            <w:r>
              <w:rPr>
                <w:rFonts w:hint="eastAsia" w:ascii="Calibri" w:hAnsi="Calibri" w:cs="宋体"/>
                <w:b/>
                <w:bCs/>
                <w:sz w:val="20"/>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restart"/>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设施设备管理</w:t>
            </w:r>
          </w:p>
        </w:tc>
        <w:tc>
          <w:tcPr>
            <w:tcW w:w="247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营地用电、用水安全；配电房、太阳能、空气能机房；弱电机房、风机房、消防水泵房、强弱电井、柴油发电机房；中央空调。</w:t>
            </w:r>
          </w:p>
        </w:tc>
        <w:tc>
          <w:tcPr>
            <w:tcW w:w="1165"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国家相应标准</w:t>
            </w:r>
          </w:p>
        </w:tc>
        <w:tc>
          <w:tcPr>
            <w:tcW w:w="3532" w:type="dxa"/>
            <w:vAlign w:val="top"/>
          </w:tcPr>
          <w:p>
            <w:pPr>
              <w:widowControl w:val="0"/>
              <w:adjustRightInd w:val="0"/>
              <w:snapToGrid w:val="0"/>
              <w:spacing w:before="0" w:after="0" w:line="240" w:lineRule="auto"/>
              <w:rPr>
                <w:rFonts w:ascii="Calibri" w:hAnsi="Calibri" w:cs="宋体"/>
                <w:sz w:val="20"/>
                <w:szCs w:val="24"/>
              </w:rPr>
            </w:pPr>
            <w:r>
              <w:rPr>
                <w:rFonts w:ascii="Calibri" w:hAnsi="Calibri" w:cs="宋体"/>
                <w:sz w:val="20"/>
                <w:szCs w:val="24"/>
              </w:rPr>
              <w:t>1、</w:t>
            </w:r>
            <w:r>
              <w:rPr>
                <w:rFonts w:hint="eastAsia" w:ascii="Calibri" w:hAnsi="Calibri" w:cs="宋体"/>
                <w:sz w:val="20"/>
                <w:szCs w:val="24"/>
              </w:rPr>
              <w:t>电房、太阳能、空气能机房每日定时巡视两次；</w:t>
            </w:r>
            <w:r>
              <w:rPr>
                <w:rFonts w:ascii="Calibri" w:hAnsi="Calibri" w:cs="宋体"/>
                <w:sz w:val="20"/>
                <w:szCs w:val="24"/>
              </w:rPr>
              <w:t>2、</w:t>
            </w:r>
            <w:r>
              <w:rPr>
                <w:rFonts w:hint="eastAsia" w:ascii="Calibri" w:hAnsi="Calibri" w:cs="宋体"/>
                <w:sz w:val="20"/>
                <w:szCs w:val="24"/>
              </w:rPr>
              <w:t>弱电机房、风机房、消防水泵房、强弱电井、柴油发电机房；</w:t>
            </w:r>
            <w:r>
              <w:rPr>
                <w:rFonts w:ascii="Calibri" w:hAnsi="Calibri" w:cs="宋体"/>
                <w:sz w:val="20"/>
                <w:szCs w:val="24"/>
              </w:rPr>
              <w:t>3、</w:t>
            </w:r>
            <w:r>
              <w:rPr>
                <w:rFonts w:hint="eastAsia" w:ascii="Calibri" w:hAnsi="Calibri" w:cs="宋体"/>
                <w:sz w:val="20"/>
                <w:szCs w:val="24"/>
              </w:rPr>
              <w:t>中央空调运行期间每两小时巡视一次机房，未运行期间每日巡视一次机房。</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54" w:type="dxa"/>
            <w:vMerge w:val="continue"/>
            <w:vAlign w:val="center"/>
          </w:tcPr>
          <w:p>
            <w:pPr>
              <w:widowControl w:val="0"/>
              <w:adjustRightInd w:val="0"/>
              <w:snapToGrid w:val="0"/>
              <w:spacing w:before="0" w:after="0" w:line="240" w:lineRule="auto"/>
              <w:jc w:val="center"/>
              <w:rPr>
                <w:rFonts w:ascii="Calibri" w:hAnsi="Calibri" w:cs="宋体"/>
                <w:sz w:val="20"/>
                <w:szCs w:val="24"/>
              </w:rPr>
            </w:pPr>
          </w:p>
        </w:tc>
        <w:tc>
          <w:tcPr>
            <w:tcW w:w="2470"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日常维护</w:t>
            </w:r>
          </w:p>
        </w:tc>
        <w:tc>
          <w:tcPr>
            <w:tcW w:w="1165" w:type="dxa"/>
            <w:vAlign w:val="center"/>
          </w:tcPr>
          <w:p>
            <w:pPr>
              <w:widowControl w:val="0"/>
              <w:adjustRightInd w:val="0"/>
              <w:snapToGrid w:val="0"/>
              <w:spacing w:before="0" w:after="0" w:line="240" w:lineRule="auto"/>
              <w:jc w:val="center"/>
              <w:rPr>
                <w:rFonts w:ascii="Calibri" w:hAnsi="Calibri" w:cs="宋体"/>
                <w:sz w:val="20"/>
                <w:szCs w:val="24"/>
              </w:rPr>
            </w:pPr>
          </w:p>
        </w:tc>
        <w:tc>
          <w:tcPr>
            <w:tcW w:w="3532"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安全技能和业务能力强，能完成规定任务</w:t>
            </w:r>
          </w:p>
        </w:tc>
        <w:tc>
          <w:tcPr>
            <w:tcW w:w="1693" w:type="dxa"/>
            <w:vAlign w:val="center"/>
          </w:tcPr>
          <w:p>
            <w:pPr>
              <w:widowControl w:val="0"/>
              <w:adjustRightInd w:val="0"/>
              <w:snapToGrid w:val="0"/>
              <w:spacing w:before="0" w:after="0" w:line="240" w:lineRule="auto"/>
              <w:jc w:val="center"/>
              <w:rPr>
                <w:rFonts w:ascii="Calibri" w:hAnsi="Calibri" w:cs="宋体"/>
                <w:sz w:val="20"/>
                <w:szCs w:val="24"/>
              </w:rPr>
            </w:pPr>
            <w:r>
              <w:rPr>
                <w:rFonts w:hint="eastAsia" w:ascii="Calibri" w:hAnsi="Calibri" w:cs="宋体"/>
                <w:sz w:val="20"/>
                <w:szCs w:val="24"/>
              </w:rPr>
              <w:t>检查</w:t>
            </w:r>
          </w:p>
        </w:tc>
      </w:tr>
    </w:tbl>
    <w:p>
      <w:pPr>
        <w:rPr>
          <w:rFonts w:ascii="宋体" w:hAnsi="宋体" w:cs="宋体"/>
        </w:rPr>
      </w:pPr>
      <w:bookmarkStart w:id="257" w:name="_Toc6245"/>
      <w:bookmarkStart w:id="258" w:name="_Toc31411"/>
      <w:bookmarkStart w:id="259" w:name="_Toc14655"/>
      <w:bookmarkStart w:id="260" w:name="_Toc23446"/>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4"/>
        <w:rPr>
          <w:rFonts w:ascii="宋体" w:hAnsi="宋体" w:eastAsia="宋体" w:cs="宋体"/>
        </w:rPr>
      </w:pPr>
    </w:p>
    <w:p>
      <w:pPr>
        <w:pStyle w:val="3"/>
        <w:topLinePunct/>
        <w:spacing w:before="0" w:after="0" w:line="360" w:lineRule="auto"/>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第六章  投标文件的格式</w:t>
      </w:r>
      <w:bookmarkEnd w:id="226"/>
      <w:bookmarkEnd w:id="227"/>
      <w:bookmarkEnd w:id="257"/>
      <w:bookmarkEnd w:id="258"/>
      <w:bookmarkEnd w:id="259"/>
      <w:bookmarkEnd w:id="260"/>
    </w:p>
    <w:p>
      <w:pPr>
        <w:spacing w:before="0" w:after="0" w:line="360" w:lineRule="auto"/>
        <w:jc w:val="center"/>
        <w:rPr>
          <w:rFonts w:ascii="宋体" w:hAnsi="宋体" w:cs="宋体"/>
          <w:b/>
          <w:sz w:val="52"/>
          <w:szCs w:val="52"/>
        </w:rPr>
      </w:pPr>
    </w:p>
    <w:p>
      <w:pPr>
        <w:spacing w:before="0" w:after="0" w:line="360" w:lineRule="auto"/>
        <w:jc w:val="center"/>
        <w:rPr>
          <w:rFonts w:ascii="宋体" w:hAnsi="宋体" w:cs="宋体"/>
          <w:b/>
          <w:sz w:val="52"/>
          <w:szCs w:val="52"/>
        </w:rPr>
      </w:pPr>
    </w:p>
    <w:p/>
    <w:p>
      <w:pPr>
        <w:spacing w:line="360" w:lineRule="auto"/>
        <w:ind w:firstLine="1620" w:firstLineChars="450"/>
        <w:rPr>
          <w:rFonts w:ascii="宋体" w:hAnsi="宋体"/>
          <w:sz w:val="36"/>
          <w:szCs w:val="36"/>
        </w:rPr>
      </w:pPr>
      <w:r>
        <w:rPr>
          <w:rFonts w:hint="eastAsia" w:ascii="宋体" w:hAnsi="宋体"/>
          <w:sz w:val="36"/>
          <w:szCs w:val="36"/>
          <w:u w:val="single"/>
        </w:rPr>
        <w:t xml:space="preserve">   </w:t>
      </w:r>
      <w:r>
        <w:rPr>
          <w:rFonts w:ascii="宋体" w:hAnsi="宋体"/>
          <w:sz w:val="36"/>
          <w:szCs w:val="36"/>
          <w:u w:val="single"/>
        </w:rPr>
        <w:t xml:space="preserve">    </w:t>
      </w:r>
      <w:r>
        <w:rPr>
          <w:rFonts w:hint="eastAsia" w:ascii="宋体" w:hAnsi="宋体"/>
          <w:sz w:val="36"/>
          <w:szCs w:val="36"/>
          <w:u w:val="single"/>
        </w:rPr>
        <w:t xml:space="preserve">   </w:t>
      </w:r>
      <w:r>
        <w:rPr>
          <w:rFonts w:ascii="宋体" w:hAnsi="宋体"/>
          <w:sz w:val="36"/>
          <w:szCs w:val="36"/>
          <w:u w:val="single"/>
        </w:rPr>
        <w:t xml:space="preserve">             </w:t>
      </w:r>
      <w:r>
        <w:rPr>
          <w:rFonts w:hint="eastAsia" w:ascii="宋体" w:hAnsi="宋体"/>
          <w:sz w:val="36"/>
          <w:szCs w:val="36"/>
          <w:u w:val="single"/>
        </w:rPr>
        <w:t xml:space="preserve"> </w:t>
      </w:r>
      <w:r>
        <w:rPr>
          <w:rFonts w:hint="eastAsia" w:ascii="宋体" w:hAnsi="宋体"/>
          <w:sz w:val="36"/>
          <w:szCs w:val="36"/>
        </w:rPr>
        <w:t>（项目名称）</w:t>
      </w:r>
    </w:p>
    <w:p>
      <w:pPr>
        <w:pStyle w:val="74"/>
        <w:jc w:val="center"/>
        <w:rPr>
          <w:rFonts w:hAnsi="宋体"/>
          <w:b/>
          <w:snapToGrid w:val="0"/>
          <w:color w:val="auto"/>
          <w:sz w:val="52"/>
          <w:szCs w:val="52"/>
        </w:rPr>
      </w:pPr>
      <w:r>
        <w:rPr>
          <w:rFonts w:hint="eastAsia" w:hAnsi="宋体"/>
          <w:b/>
          <w:snapToGrid w:val="0"/>
          <w:color w:val="auto"/>
          <w:sz w:val="52"/>
          <w:szCs w:val="52"/>
        </w:rPr>
        <w:t>投标文件</w:t>
      </w:r>
    </w:p>
    <w:p>
      <w:pPr>
        <w:pStyle w:val="74"/>
        <w:jc w:val="center"/>
        <w:rPr>
          <w:rFonts w:hAnsi="宋体"/>
          <w:sz w:val="30"/>
          <w:szCs w:val="30"/>
        </w:rPr>
      </w:pPr>
      <w:r>
        <w:rPr>
          <w:rFonts w:hint="eastAsia" w:hAnsi="宋体"/>
          <w:sz w:val="30"/>
          <w:szCs w:val="30"/>
        </w:rPr>
        <w:t>(招标编号：)</w:t>
      </w:r>
    </w:p>
    <w:p>
      <w:pPr>
        <w:pStyle w:val="14"/>
        <w:snapToGrid w:val="0"/>
        <w:spacing w:before="166" w:beforeLines="50"/>
        <w:ind w:left="119" w:firstLine="2520" w:firstLineChars="900"/>
        <w:rPr>
          <w:rFonts w:ascii="宋体" w:hAnsi="宋体" w:eastAsia="宋体" w:cs="宋体"/>
          <w:szCs w:val="28"/>
        </w:rPr>
      </w:pPr>
    </w:p>
    <w:p>
      <w:pPr>
        <w:pStyle w:val="14"/>
        <w:snapToGrid w:val="0"/>
        <w:spacing w:before="166" w:beforeLines="50"/>
        <w:ind w:left="119" w:firstLine="2520" w:firstLineChars="900"/>
        <w:rPr>
          <w:rFonts w:ascii="宋体" w:hAnsi="宋体" w:eastAsia="宋体" w:cs="宋体"/>
          <w:szCs w:val="28"/>
        </w:rPr>
      </w:pPr>
    </w:p>
    <w:p>
      <w:pPr>
        <w:pStyle w:val="14"/>
        <w:snapToGrid w:val="0"/>
        <w:spacing w:before="166" w:beforeLines="50"/>
        <w:ind w:left="119" w:firstLine="2520" w:firstLineChars="900"/>
        <w:rPr>
          <w:rFonts w:ascii="宋体" w:hAnsi="宋体" w:eastAsia="宋体" w:cs="宋体"/>
          <w:szCs w:val="28"/>
        </w:rPr>
      </w:pPr>
    </w:p>
    <w:p>
      <w:pPr>
        <w:pStyle w:val="14"/>
        <w:snapToGrid w:val="0"/>
        <w:spacing w:before="166" w:beforeLines="50"/>
        <w:rPr>
          <w:rFonts w:ascii="宋体" w:hAnsi="宋体" w:eastAsia="宋体" w:cs="宋体"/>
          <w:szCs w:val="28"/>
        </w:rPr>
      </w:pPr>
    </w:p>
    <w:p>
      <w:pPr>
        <w:pStyle w:val="14"/>
        <w:spacing w:before="166" w:beforeLines="50"/>
        <w:rPr>
          <w:rFonts w:ascii="宋体" w:hAnsi="宋体" w:eastAsia="宋体" w:cs="宋体"/>
          <w:sz w:val="32"/>
          <w:szCs w:val="32"/>
        </w:rPr>
      </w:pPr>
    </w:p>
    <w:p>
      <w:pPr>
        <w:pStyle w:val="14"/>
        <w:spacing w:before="166" w:beforeLines="50"/>
        <w:rPr>
          <w:rFonts w:ascii="宋体" w:hAnsi="宋体" w:eastAsia="宋体" w:cs="宋体"/>
          <w:sz w:val="32"/>
          <w:szCs w:val="32"/>
        </w:rPr>
      </w:pPr>
    </w:p>
    <w:p>
      <w:pPr>
        <w:pStyle w:val="14"/>
        <w:spacing w:before="166" w:beforeLines="50"/>
        <w:ind w:firstLine="2419" w:firstLineChars="864"/>
        <w:jc w:val="both"/>
        <w:rPr>
          <w:rFonts w:ascii="宋体" w:hAnsi="宋体" w:eastAsia="宋体" w:cs="宋体"/>
          <w:szCs w:val="28"/>
        </w:rPr>
      </w:pPr>
      <w:r>
        <w:rPr>
          <w:rFonts w:hint="eastAsia" w:ascii="宋体" w:hAnsi="宋体" w:eastAsia="宋体" w:cs="宋体"/>
          <w:szCs w:val="28"/>
        </w:rPr>
        <w:t>投标人：（盖公章）</w:t>
      </w:r>
    </w:p>
    <w:p>
      <w:pPr>
        <w:pStyle w:val="14"/>
        <w:spacing w:before="166" w:beforeLines="50"/>
        <w:ind w:firstLine="2419" w:firstLineChars="864"/>
        <w:jc w:val="both"/>
        <w:rPr>
          <w:rFonts w:ascii="宋体" w:hAnsi="宋体" w:eastAsia="宋体" w:cs="宋体"/>
          <w:szCs w:val="28"/>
        </w:rPr>
      </w:pPr>
      <w:r>
        <w:rPr>
          <w:rFonts w:hint="eastAsia" w:ascii="宋体" w:hAnsi="宋体" w:eastAsia="宋体" w:cs="宋体"/>
          <w:szCs w:val="28"/>
        </w:rPr>
        <w:t>日期：    年   月   日</w:t>
      </w:r>
    </w:p>
    <w:p>
      <w:pPr>
        <w:pStyle w:val="31"/>
        <w:ind w:firstLine="210"/>
        <w:rPr>
          <w:rFonts w:ascii="宋体" w:hAnsi="宋体" w:eastAsia="宋体" w:cs="宋体"/>
          <w:szCs w:val="28"/>
        </w:rPr>
      </w:pPr>
    </w:p>
    <w:p>
      <w:pPr>
        <w:pStyle w:val="31"/>
        <w:ind w:firstLine="210"/>
        <w:rPr>
          <w:rFonts w:ascii="宋体" w:hAnsi="宋体" w:eastAsia="宋体" w:cs="宋体"/>
          <w:szCs w:val="28"/>
        </w:rPr>
      </w:pPr>
    </w:p>
    <w:p>
      <w:pPr>
        <w:pStyle w:val="31"/>
        <w:ind w:firstLine="210"/>
        <w:rPr>
          <w:rFonts w:ascii="宋体" w:hAnsi="宋体" w:eastAsia="宋体" w:cs="宋体"/>
          <w:szCs w:val="28"/>
        </w:rPr>
      </w:pPr>
    </w:p>
    <w:p>
      <w:pPr>
        <w:pStyle w:val="31"/>
        <w:ind w:firstLine="210"/>
        <w:rPr>
          <w:rFonts w:ascii="宋体" w:hAnsi="宋体" w:eastAsia="宋体" w:cs="宋体"/>
          <w:szCs w:val="28"/>
        </w:rPr>
      </w:pPr>
    </w:p>
    <w:p>
      <w:pPr>
        <w:pStyle w:val="31"/>
        <w:ind w:firstLine="210"/>
        <w:rPr>
          <w:rFonts w:ascii="宋体" w:hAnsi="宋体" w:eastAsia="宋体" w:cs="宋体"/>
          <w:szCs w:val="28"/>
        </w:rPr>
      </w:pPr>
    </w:p>
    <w:p>
      <w:pPr>
        <w:pStyle w:val="31"/>
        <w:ind w:firstLine="210"/>
        <w:rPr>
          <w:rFonts w:ascii="宋体" w:hAnsi="宋体" w:eastAsia="宋体" w:cs="宋体"/>
          <w:szCs w:val="28"/>
        </w:rPr>
      </w:pPr>
    </w:p>
    <w:p>
      <w:pPr>
        <w:pStyle w:val="31"/>
        <w:ind w:firstLine="210"/>
        <w:rPr>
          <w:rFonts w:ascii="宋体" w:hAnsi="宋体" w:eastAsia="宋体" w:cs="宋体"/>
          <w:szCs w:val="28"/>
        </w:rPr>
      </w:pPr>
    </w:p>
    <w:p>
      <w:pPr>
        <w:pStyle w:val="31"/>
        <w:ind w:firstLine="210"/>
        <w:rPr>
          <w:rFonts w:ascii="宋体" w:hAnsi="宋体" w:eastAsia="宋体" w:cs="宋体"/>
          <w:szCs w:val="28"/>
        </w:rPr>
      </w:pPr>
    </w:p>
    <w:p>
      <w:pPr>
        <w:spacing w:line="360" w:lineRule="auto"/>
        <w:jc w:val="center"/>
        <w:outlineLvl w:val="1"/>
        <w:rPr>
          <w:rFonts w:ascii="宋体" w:hAnsi="宋体" w:cs="宋体"/>
          <w:sz w:val="24"/>
          <w:szCs w:val="24"/>
        </w:rPr>
      </w:pPr>
      <w:r>
        <w:rPr>
          <w:rFonts w:hint="eastAsia" w:ascii="宋体" w:hAnsi="宋体" w:cs="宋体"/>
          <w:b/>
          <w:bCs/>
          <w:kern w:val="44"/>
          <w:sz w:val="24"/>
          <w:szCs w:val="24"/>
        </w:rPr>
        <w:t>第1节 开标一览表</w:t>
      </w:r>
    </w:p>
    <w:p>
      <w:pPr>
        <w:pStyle w:val="18"/>
        <w:spacing w:line="360" w:lineRule="auto"/>
        <w:ind w:firstLine="240" w:firstLineChars="100"/>
        <w:rPr>
          <w:rFonts w:hAnsi="宋体" w:cs="宋体"/>
          <w:sz w:val="24"/>
          <w:szCs w:val="24"/>
        </w:rPr>
      </w:pPr>
    </w:p>
    <w:p>
      <w:pPr>
        <w:pStyle w:val="18"/>
        <w:spacing w:line="360" w:lineRule="auto"/>
        <w:ind w:firstLine="240" w:firstLineChars="100"/>
        <w:rPr>
          <w:rFonts w:hAnsi="宋体" w:cs="宋体"/>
          <w:sz w:val="24"/>
          <w:szCs w:val="24"/>
        </w:rPr>
      </w:pPr>
      <w:r>
        <w:rPr>
          <w:rFonts w:hint="eastAsia" w:hAnsi="宋体" w:cs="宋体"/>
          <w:sz w:val="24"/>
          <w:szCs w:val="24"/>
        </w:rPr>
        <w:t>项目名称：</w:t>
      </w:r>
      <w:r>
        <w:rPr>
          <w:rFonts w:hint="eastAsia" w:hAnsi="宋体" w:cs="宋体"/>
          <w:sz w:val="24"/>
          <w:szCs w:val="24"/>
          <w:u w:val="single"/>
        </w:rPr>
        <w:t xml:space="preserve">                  </w:t>
      </w:r>
    </w:p>
    <w:p>
      <w:pPr>
        <w:pStyle w:val="18"/>
        <w:spacing w:line="360" w:lineRule="auto"/>
        <w:ind w:firstLine="240" w:firstLineChars="100"/>
        <w:rPr>
          <w:rFonts w:hAnsi="宋体" w:cs="宋体"/>
          <w:sz w:val="24"/>
          <w:szCs w:val="24"/>
        </w:rPr>
      </w:pPr>
      <w:r>
        <w:rPr>
          <w:rFonts w:hint="eastAsia" w:hAnsi="宋体" w:cs="宋体"/>
          <w:sz w:val="24"/>
          <w:szCs w:val="24"/>
        </w:rPr>
        <w:t>招标编号：</w:t>
      </w:r>
      <w:r>
        <w:rPr>
          <w:rFonts w:hint="eastAsia" w:hAnsi="宋体" w:cs="宋体"/>
          <w:sz w:val="24"/>
          <w:szCs w:val="24"/>
          <w:u w:val="single"/>
        </w:rPr>
        <w:t xml:space="preserve">                  </w:t>
      </w:r>
      <w:r>
        <w:rPr>
          <w:rFonts w:hint="eastAsia" w:hAnsi="宋体" w:cs="宋体"/>
          <w:sz w:val="24"/>
          <w:szCs w:val="24"/>
        </w:rPr>
        <w:t xml:space="preserve">  </w:t>
      </w:r>
    </w:p>
    <w:tbl>
      <w:tblPr>
        <w:tblStyle w:val="33"/>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57"/>
        <w:gridCol w:w="1426"/>
        <w:gridCol w:w="2524"/>
        <w:gridCol w:w="1738"/>
        <w:gridCol w:w="110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投标人名称</w:t>
            </w:r>
          </w:p>
        </w:tc>
        <w:tc>
          <w:tcPr>
            <w:tcW w:w="1426" w:type="dxa"/>
            <w:tcBorders>
              <w:top w:val="single" w:color="000000" w:sz="4" w:space="0"/>
              <w:bottom w:val="single" w:color="000000" w:sz="4" w:space="0"/>
              <w:right w:val="single" w:color="000000" w:sz="4" w:space="0"/>
            </w:tcBorders>
            <w:shd w:val="clear" w:color="auto" w:fill="FFFFFF"/>
            <w:vAlign w:val="center"/>
          </w:tcPr>
          <w:p>
            <w:pPr>
              <w:rPr>
                <w:rFonts w:ascii="宋体" w:hAnsi="宋体" w:cs="宋体"/>
                <w:color w:val="000000"/>
                <w:kern w:val="0"/>
                <w:sz w:val="24"/>
                <w:szCs w:val="24"/>
              </w:rPr>
            </w:pPr>
            <w:r>
              <w:rPr>
                <w:rFonts w:hint="eastAsia" w:ascii="宋体" w:hAnsi="宋体" w:cs="宋体"/>
                <w:color w:val="000000"/>
                <w:kern w:val="0"/>
                <w:sz w:val="24"/>
                <w:szCs w:val="24"/>
              </w:rPr>
              <w:t>投标保证金</w:t>
            </w:r>
          </w:p>
          <w:p>
            <w:pPr>
              <w:spacing w:line="4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（有/无）</w:t>
            </w:r>
          </w:p>
        </w:tc>
        <w:tc>
          <w:tcPr>
            <w:tcW w:w="2524" w:type="dxa"/>
            <w:tcBorders>
              <w:top w:val="single" w:color="000000" w:sz="4" w:space="0"/>
              <w:bottom w:val="single" w:color="000000" w:sz="4" w:space="0"/>
              <w:right w:val="single" w:color="000000" w:sz="4" w:space="0"/>
            </w:tcBorders>
            <w:shd w:val="clear" w:color="auto" w:fill="FFFFFF"/>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投标报价（元/年）</w:t>
            </w:r>
          </w:p>
        </w:tc>
        <w:tc>
          <w:tcPr>
            <w:tcW w:w="1738" w:type="dxa"/>
            <w:tcBorders>
              <w:top w:val="single" w:color="000000" w:sz="4" w:space="0"/>
              <w:bottom w:val="single" w:color="000000" w:sz="4" w:space="0"/>
              <w:right w:val="single" w:color="000000" w:sz="4" w:space="0"/>
            </w:tcBorders>
            <w:shd w:val="clear" w:color="auto" w:fill="FFFFFF"/>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质量标准</w:t>
            </w:r>
          </w:p>
        </w:tc>
        <w:tc>
          <w:tcPr>
            <w:tcW w:w="1100" w:type="dxa"/>
            <w:tcBorders>
              <w:top w:val="single" w:color="000000" w:sz="4" w:space="0"/>
              <w:bottom w:val="single" w:color="000000" w:sz="4" w:space="0"/>
              <w:right w:val="single" w:color="000000" w:sz="4" w:space="0"/>
            </w:tcBorders>
            <w:shd w:val="clear" w:color="auto" w:fill="FFFFFF"/>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服务期限</w:t>
            </w:r>
          </w:p>
        </w:tc>
        <w:tc>
          <w:tcPr>
            <w:tcW w:w="1215" w:type="dxa"/>
            <w:tcBorders>
              <w:top w:val="single" w:color="000000" w:sz="4" w:space="0"/>
              <w:bottom w:val="single" w:color="000000" w:sz="4" w:space="0"/>
              <w:right w:val="single" w:color="000000" w:sz="4" w:space="0"/>
            </w:tcBorders>
            <w:shd w:val="clear" w:color="auto" w:fill="FFFFFF"/>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3" w:hRule="atLeast"/>
        </w:trPr>
        <w:tc>
          <w:tcPr>
            <w:tcW w:w="1357" w:type="dxa"/>
            <w:tcBorders>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color w:val="000000"/>
                <w:sz w:val="24"/>
                <w:szCs w:val="24"/>
              </w:rPr>
            </w:pPr>
          </w:p>
        </w:tc>
        <w:tc>
          <w:tcPr>
            <w:tcW w:w="1426" w:type="dxa"/>
            <w:tcBorders>
              <w:bottom w:val="single" w:color="000000" w:sz="4" w:space="0"/>
              <w:right w:val="single" w:color="000000" w:sz="4" w:space="0"/>
            </w:tcBorders>
            <w:shd w:val="clear" w:color="auto" w:fill="FFFFFF"/>
            <w:vAlign w:val="center"/>
          </w:tcPr>
          <w:p>
            <w:pPr>
              <w:spacing w:line="400" w:lineRule="exact"/>
              <w:jc w:val="center"/>
              <w:rPr>
                <w:rFonts w:ascii="宋体" w:hAnsi="宋体" w:cs="宋体"/>
                <w:color w:val="000000"/>
                <w:sz w:val="24"/>
                <w:szCs w:val="24"/>
              </w:rPr>
            </w:pPr>
          </w:p>
        </w:tc>
        <w:tc>
          <w:tcPr>
            <w:tcW w:w="2524" w:type="dxa"/>
            <w:tcBorders>
              <w:bottom w:val="single" w:color="000000" w:sz="4" w:space="0"/>
              <w:right w:val="single" w:color="000000" w:sz="4" w:space="0"/>
            </w:tcBorders>
            <w:shd w:val="clear" w:color="auto" w:fill="FFFFFF"/>
            <w:vAlign w:val="center"/>
          </w:tcPr>
          <w:p>
            <w:pPr>
              <w:spacing w:line="400" w:lineRule="exact"/>
              <w:rPr>
                <w:rFonts w:ascii="宋体" w:hAnsi="宋体" w:cs="宋体"/>
                <w:sz w:val="24"/>
                <w:szCs w:val="24"/>
              </w:rPr>
            </w:pPr>
          </w:p>
        </w:tc>
        <w:tc>
          <w:tcPr>
            <w:tcW w:w="1738" w:type="dxa"/>
            <w:tcBorders>
              <w:bottom w:val="single" w:color="000000" w:sz="4" w:space="0"/>
              <w:right w:val="single" w:color="000000" w:sz="4" w:space="0"/>
            </w:tcBorders>
            <w:shd w:val="clear" w:color="auto" w:fill="FFFFFF"/>
            <w:vAlign w:val="center"/>
          </w:tcPr>
          <w:p>
            <w:pPr>
              <w:spacing w:line="400" w:lineRule="exact"/>
              <w:jc w:val="center"/>
              <w:rPr>
                <w:rFonts w:ascii="宋体" w:hAnsi="宋体" w:cs="宋体"/>
                <w:color w:val="000000"/>
                <w:sz w:val="24"/>
                <w:szCs w:val="24"/>
              </w:rPr>
            </w:pPr>
          </w:p>
        </w:tc>
        <w:tc>
          <w:tcPr>
            <w:tcW w:w="1100" w:type="dxa"/>
            <w:tcBorders>
              <w:bottom w:val="single" w:color="000000" w:sz="4" w:space="0"/>
              <w:right w:val="single" w:color="000000" w:sz="4" w:space="0"/>
            </w:tcBorders>
            <w:shd w:val="clear" w:color="auto" w:fill="FFFFFF"/>
            <w:vAlign w:val="top"/>
          </w:tcPr>
          <w:p>
            <w:pPr>
              <w:spacing w:line="400" w:lineRule="exact"/>
              <w:jc w:val="center"/>
              <w:rPr>
                <w:rFonts w:ascii="宋体" w:hAnsi="宋体" w:cs="宋体"/>
                <w:color w:val="000000"/>
                <w:sz w:val="24"/>
                <w:szCs w:val="24"/>
              </w:rPr>
            </w:pPr>
          </w:p>
        </w:tc>
        <w:tc>
          <w:tcPr>
            <w:tcW w:w="1215" w:type="dxa"/>
            <w:tcBorders>
              <w:bottom w:val="single" w:color="000000" w:sz="4" w:space="0"/>
              <w:right w:val="single" w:color="000000" w:sz="4" w:space="0"/>
            </w:tcBorders>
            <w:shd w:val="clear" w:color="auto" w:fill="FFFFFF"/>
            <w:vAlign w:val="center"/>
          </w:tcPr>
          <w:p>
            <w:pPr>
              <w:spacing w:line="400" w:lineRule="exact"/>
              <w:rPr>
                <w:rFonts w:ascii="宋体" w:hAnsi="宋体" w:cs="宋体"/>
                <w:color w:val="000000"/>
                <w:sz w:val="24"/>
                <w:szCs w:val="24"/>
              </w:rPr>
            </w:pPr>
          </w:p>
        </w:tc>
      </w:tr>
    </w:tbl>
    <w:p>
      <w:pPr>
        <w:pStyle w:val="18"/>
        <w:spacing w:line="360" w:lineRule="auto"/>
        <w:ind w:firstLine="240" w:firstLineChars="100"/>
        <w:rPr>
          <w:rFonts w:hAnsi="宋体" w:cs="宋体"/>
          <w:sz w:val="24"/>
          <w:szCs w:val="24"/>
        </w:rPr>
      </w:pPr>
    </w:p>
    <w:p>
      <w:pPr>
        <w:spacing w:before="0" w:after="0" w:line="460" w:lineRule="auto"/>
        <w:ind w:firstLine="2880" w:firstLineChars="120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（单位名称）</w:t>
      </w:r>
      <w:r>
        <w:rPr>
          <w:rFonts w:hint="eastAsia" w:ascii="宋体" w:hAnsi="宋体" w:cs="宋体"/>
          <w:sz w:val="24"/>
          <w:szCs w:val="24"/>
        </w:rPr>
        <w:t>（盖单位公章）</w:t>
      </w:r>
    </w:p>
    <w:p>
      <w:pPr>
        <w:spacing w:before="0" w:after="0" w:line="460" w:lineRule="auto"/>
        <w:ind w:firstLine="2640" w:firstLineChars="1100"/>
        <w:rPr>
          <w:rFonts w:ascii="宋体" w:hAnsi="宋体" w:cs="宋体"/>
          <w:sz w:val="24"/>
          <w:szCs w:val="24"/>
        </w:rPr>
      </w:pPr>
      <w:r>
        <w:rPr>
          <w:rFonts w:hint="eastAsia" w:ascii="宋体" w:hAnsi="宋体" w:cs="宋体"/>
          <w:sz w:val="24"/>
          <w:szCs w:val="24"/>
        </w:rPr>
        <w:t>法定代表人（或委托代理人）：（签名）</w:t>
      </w:r>
    </w:p>
    <w:p>
      <w:pPr>
        <w:tabs>
          <w:tab w:val="left" w:pos="1204"/>
          <w:tab w:val="left" w:pos="7800"/>
        </w:tabs>
        <w:spacing w:before="0" w:after="0" w:line="460" w:lineRule="auto"/>
        <w:rPr>
          <w:rFonts w:ascii="宋体" w:hAnsi="宋体" w:cs="宋体"/>
          <w:sz w:val="24"/>
          <w:szCs w:val="24"/>
        </w:rPr>
      </w:pPr>
      <w:r>
        <w:rPr>
          <w:rFonts w:hint="eastAsia" w:ascii="宋体" w:hAnsi="宋体" w:cs="宋体"/>
          <w:sz w:val="24"/>
          <w:szCs w:val="24"/>
        </w:rPr>
        <w:t xml:space="preserve">                           日   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bookmarkStart w:id="261" w:name="_Toc16928"/>
    </w:p>
    <w:p>
      <w:pPr>
        <w:pStyle w:val="4"/>
        <w:jc w:val="center"/>
        <w:rPr>
          <w:rFonts w:ascii="宋体" w:hAnsi="宋体" w:cs="宋体"/>
          <w:bCs/>
          <w:sz w:val="28"/>
          <w:szCs w:val="28"/>
        </w:rPr>
      </w:pPr>
    </w:p>
    <w:p>
      <w:pPr>
        <w:pStyle w:val="4"/>
        <w:jc w:val="center"/>
        <w:rPr>
          <w:rFonts w:ascii="宋体" w:hAnsi="宋体" w:cs="宋体"/>
          <w:bCs/>
          <w:sz w:val="28"/>
          <w:szCs w:val="28"/>
        </w:rPr>
      </w:pPr>
    </w:p>
    <w:p>
      <w:pPr>
        <w:pStyle w:val="4"/>
        <w:jc w:val="center"/>
        <w:rPr>
          <w:rFonts w:ascii="宋体" w:hAnsi="宋体" w:cs="宋体"/>
          <w:bCs/>
          <w:szCs w:val="24"/>
        </w:rPr>
      </w:pPr>
      <w:r>
        <w:rPr>
          <w:rFonts w:hint="eastAsia" w:ascii="宋体" w:hAnsi="宋体" w:cs="宋体"/>
          <w:bCs/>
          <w:szCs w:val="24"/>
        </w:rPr>
        <w:t>第2</w:t>
      </w:r>
      <w:r>
        <w:rPr>
          <w:rFonts w:hint="eastAsia" w:ascii="宋体" w:hAnsi="宋体" w:cs="宋体"/>
          <w:bCs/>
          <w:kern w:val="44"/>
          <w:szCs w:val="24"/>
        </w:rPr>
        <w:t>节</w:t>
      </w:r>
      <w:r>
        <w:rPr>
          <w:rFonts w:hint="eastAsia" w:ascii="宋体" w:hAnsi="宋体" w:cs="宋体"/>
          <w:bCs/>
          <w:szCs w:val="24"/>
        </w:rPr>
        <w:t xml:space="preserve"> 投标函</w:t>
      </w:r>
    </w:p>
    <w:bookmarkEnd w:id="261"/>
    <w:p>
      <w:pPr>
        <w:ind w:firstLine="0" w:firstLineChars="0"/>
        <w:jc w:val="center"/>
        <w:rPr>
          <w:rFonts w:ascii="宋体" w:hAnsi="宋体" w:cs="宋体"/>
          <w:b/>
          <w:bCs/>
          <w:sz w:val="24"/>
          <w:szCs w:val="24"/>
        </w:rPr>
      </w:pPr>
      <w:r>
        <w:rPr>
          <w:rFonts w:hint="eastAsia" w:ascii="宋体" w:hAnsi="宋体" w:cs="宋体"/>
          <w:b/>
          <w:sz w:val="24"/>
          <w:szCs w:val="24"/>
        </w:rPr>
        <w:t>投标函</w:t>
      </w:r>
    </w:p>
    <w:p>
      <w:pPr>
        <w:widowControl w:val="0"/>
        <w:adjustRightInd w:val="0"/>
        <w:snapToGrid w:val="0"/>
        <w:spacing w:before="0" w:after="0" w:line="460" w:lineRule="exact"/>
        <w:rPr>
          <w:rFonts w:ascii="宋体" w:hAnsi="宋体" w:cs="宋体"/>
          <w:sz w:val="24"/>
          <w:szCs w:val="24"/>
          <w:u w:val="single"/>
        </w:rPr>
      </w:pPr>
      <w:r>
        <w:rPr>
          <w:rFonts w:hint="eastAsia" w:ascii="宋体" w:hAnsi="宋体" w:cs="宋体"/>
          <w:spacing w:val="20"/>
          <w:sz w:val="24"/>
          <w:szCs w:val="24"/>
        </w:rPr>
        <w:t>项目名称：</w:t>
      </w:r>
      <w:r>
        <w:rPr>
          <w:rFonts w:hint="eastAsia" w:ascii="宋体" w:hAnsi="宋体" w:cs="宋体"/>
          <w:sz w:val="24"/>
          <w:szCs w:val="24"/>
          <w:u w:val="single"/>
        </w:rPr>
        <w:t xml:space="preserve">                                  </w:t>
      </w:r>
    </w:p>
    <w:p>
      <w:pPr>
        <w:widowControl w:val="0"/>
        <w:adjustRightInd w:val="0"/>
        <w:snapToGrid w:val="0"/>
        <w:spacing w:before="0" w:after="0" w:line="460" w:lineRule="exact"/>
        <w:rPr>
          <w:rFonts w:ascii="宋体" w:hAnsi="宋体" w:cs="宋体"/>
          <w:color w:val="FF6600"/>
          <w:sz w:val="24"/>
          <w:szCs w:val="24"/>
        </w:rPr>
      </w:pPr>
      <w:r>
        <w:rPr>
          <w:rFonts w:hint="eastAsia" w:ascii="宋体" w:hAnsi="宋体" w:cs="宋体"/>
          <w:spacing w:val="20"/>
          <w:sz w:val="24"/>
          <w:szCs w:val="24"/>
        </w:rPr>
        <w:t>招标编号：</w:t>
      </w:r>
      <w:r>
        <w:rPr>
          <w:rFonts w:hint="eastAsia" w:ascii="宋体" w:hAnsi="宋体" w:cs="宋体"/>
          <w:sz w:val="24"/>
          <w:szCs w:val="24"/>
          <w:u w:val="single"/>
        </w:rPr>
        <w:t xml:space="preserve">                  </w:t>
      </w:r>
      <w:r>
        <w:rPr>
          <w:rFonts w:hint="eastAsia" w:ascii="宋体" w:hAnsi="宋体" w:cs="宋体"/>
          <w:color w:val="FF6600"/>
          <w:sz w:val="24"/>
          <w:szCs w:val="24"/>
        </w:rPr>
        <w:t xml:space="preserve">   </w:t>
      </w:r>
    </w:p>
    <w:p>
      <w:pPr>
        <w:widowControl w:val="0"/>
        <w:spacing w:before="0" w:after="0" w:line="460" w:lineRule="exact"/>
        <w:ind w:firstLine="480" w:firstLineChars="200"/>
        <w:rPr>
          <w:rFonts w:ascii="宋体" w:hAnsi="宋体" w:cs="宋体"/>
          <w:sz w:val="24"/>
          <w:szCs w:val="24"/>
        </w:rPr>
      </w:pPr>
      <w:r>
        <w:rPr>
          <w:rFonts w:hint="eastAsia" w:ascii="宋体" w:hAnsi="宋体" w:cs="宋体"/>
          <w:sz w:val="24"/>
          <w:szCs w:val="24"/>
        </w:rPr>
        <w:t>1.我方已仔细研究了</w:t>
      </w:r>
      <w:r>
        <w:rPr>
          <w:rFonts w:hint="eastAsia" w:ascii="宋体" w:hAnsi="宋体" w:cs="宋体"/>
          <w:sz w:val="24"/>
          <w:szCs w:val="24"/>
          <w:u w:val="single"/>
        </w:rPr>
        <w:t xml:space="preserve">                               </w:t>
      </w:r>
      <w:r>
        <w:rPr>
          <w:rFonts w:hint="eastAsia" w:ascii="宋体" w:hAnsi="宋体" w:cs="宋体"/>
          <w:sz w:val="24"/>
          <w:szCs w:val="24"/>
        </w:rPr>
        <w:t>（招标文件名称）的全部内容，愿意以人民币：¥</w:t>
      </w:r>
      <w:r>
        <w:rPr>
          <w:rFonts w:hint="eastAsia" w:ascii="宋体" w:hAnsi="宋体" w:cs="宋体"/>
          <w:sz w:val="24"/>
          <w:szCs w:val="24"/>
          <w:u w:val="single"/>
        </w:rPr>
        <w:t xml:space="preserve">           </w:t>
      </w:r>
      <w:r>
        <w:rPr>
          <w:rFonts w:hint="eastAsia" w:ascii="宋体" w:hAnsi="宋体" w:cs="宋体"/>
          <w:sz w:val="24"/>
          <w:szCs w:val="24"/>
          <w:u w:val="none"/>
          <w:lang w:eastAsia="zh-CN"/>
        </w:rPr>
        <w:t>元</w:t>
      </w:r>
      <w:r>
        <w:rPr>
          <w:rFonts w:hint="eastAsia" w:ascii="宋体" w:hAnsi="宋体" w:cs="宋体"/>
          <w:sz w:val="24"/>
          <w:szCs w:val="24"/>
          <w:u w:val="none"/>
          <w:lang w:val="en-US" w:eastAsia="zh-CN"/>
        </w:rPr>
        <w:t>/年</w:t>
      </w:r>
      <w:r>
        <w:rPr>
          <w:rFonts w:hint="eastAsia" w:ascii="宋体" w:hAnsi="宋体" w:cs="宋体"/>
          <w:sz w:val="24"/>
          <w:szCs w:val="24"/>
        </w:rPr>
        <w:t>（大写）</w:t>
      </w:r>
      <w:r>
        <w:rPr>
          <w:rFonts w:hint="eastAsia" w:ascii="宋体" w:hAnsi="宋体" w:cs="宋体"/>
          <w:b/>
          <w:sz w:val="24"/>
          <w:szCs w:val="24"/>
          <w:u w:val="single"/>
        </w:rPr>
        <w:t xml:space="preserve">             </w:t>
      </w:r>
      <w:r>
        <w:rPr>
          <w:rFonts w:hint="eastAsia" w:ascii="宋体" w:hAnsi="宋体" w:cs="宋体"/>
          <w:sz w:val="24"/>
          <w:szCs w:val="24"/>
          <w:u w:val="none"/>
        </w:rPr>
        <w:t>元</w:t>
      </w:r>
      <w:r>
        <w:rPr>
          <w:rFonts w:hint="eastAsia" w:ascii="宋体" w:hAnsi="宋体" w:cs="宋体"/>
          <w:sz w:val="24"/>
          <w:szCs w:val="24"/>
          <w:u w:val="none"/>
          <w:lang w:val="en-US" w:eastAsia="zh-CN"/>
        </w:rPr>
        <w:t>/年</w:t>
      </w:r>
      <w:r>
        <w:rPr>
          <w:rFonts w:hint="eastAsia" w:ascii="宋体" w:hAnsi="宋体" w:cs="宋体"/>
          <w:sz w:val="24"/>
          <w:szCs w:val="24"/>
        </w:rPr>
        <w:t>的报价（详见报价表）按招标文件规定的条件和要求实施合同规定的全部工作，并承担相关的责任。</w:t>
      </w:r>
    </w:p>
    <w:p>
      <w:pPr>
        <w:widowControl w:val="0"/>
        <w:spacing w:before="0" w:after="0" w:line="460" w:lineRule="exact"/>
        <w:ind w:firstLine="480" w:firstLineChars="200"/>
        <w:rPr>
          <w:rFonts w:ascii="宋体" w:hAnsi="宋体" w:cs="宋体"/>
          <w:sz w:val="24"/>
          <w:szCs w:val="24"/>
        </w:rPr>
      </w:pPr>
      <w:r>
        <w:rPr>
          <w:rFonts w:hint="eastAsia" w:ascii="宋体" w:hAnsi="宋体" w:cs="宋体"/>
          <w:sz w:val="24"/>
          <w:szCs w:val="24"/>
        </w:rPr>
        <w:t>2.我方提交的报价书在报价截止时间后的</w:t>
      </w:r>
      <w:r>
        <w:rPr>
          <w:rFonts w:hint="eastAsia" w:ascii="宋体" w:hAnsi="宋体" w:cs="宋体"/>
          <w:sz w:val="24"/>
          <w:szCs w:val="24"/>
          <w:u w:val="single"/>
        </w:rPr>
        <w:t xml:space="preserve">   </w:t>
      </w:r>
      <w:r>
        <w:rPr>
          <w:rFonts w:hint="eastAsia" w:ascii="宋体" w:hAnsi="宋体" w:cs="宋体"/>
          <w:sz w:val="24"/>
          <w:szCs w:val="24"/>
        </w:rPr>
        <w:t>天内有效，在此期间被你方接受的上述文件对我方一直具有约束力。我方保证在报价文件有效期内不撤回报价文件，除招标文件另有规定外，不修改报价文件。</w:t>
      </w:r>
    </w:p>
    <w:p>
      <w:pPr>
        <w:widowControl w:val="0"/>
        <w:spacing w:before="0" w:after="0" w:line="460" w:lineRule="exact"/>
        <w:ind w:firstLine="480" w:firstLineChars="200"/>
        <w:rPr>
          <w:rFonts w:ascii="宋体" w:hAnsi="宋体" w:cs="宋体"/>
          <w:sz w:val="24"/>
          <w:szCs w:val="24"/>
        </w:rPr>
      </w:pPr>
      <w:r>
        <w:rPr>
          <w:rFonts w:hint="eastAsia" w:ascii="宋体" w:hAnsi="宋体" w:cs="宋体"/>
          <w:sz w:val="24"/>
          <w:szCs w:val="24"/>
        </w:rPr>
        <w:t>3.若我单位中选：</w:t>
      </w:r>
    </w:p>
    <w:p>
      <w:pPr>
        <w:widowControl w:val="0"/>
        <w:spacing w:before="0" w:after="0" w:line="460" w:lineRule="exact"/>
        <w:ind w:firstLine="480" w:firstLineChars="200"/>
        <w:rPr>
          <w:rFonts w:ascii="宋体" w:hAnsi="宋体" w:cs="宋体"/>
          <w:sz w:val="24"/>
          <w:szCs w:val="24"/>
        </w:rPr>
      </w:pPr>
      <w:r>
        <w:rPr>
          <w:rFonts w:hint="eastAsia" w:ascii="宋体" w:hAnsi="宋体" w:cs="宋体"/>
          <w:sz w:val="24"/>
          <w:szCs w:val="24"/>
        </w:rPr>
        <w:t>（1）我方保证在收到招标人的通知后，按要求的期限，及时派代表前往约定的地点签订合同。</w:t>
      </w:r>
    </w:p>
    <w:p>
      <w:pPr>
        <w:widowControl w:val="0"/>
        <w:spacing w:before="0" w:after="0" w:line="460" w:lineRule="exact"/>
        <w:ind w:firstLine="480" w:firstLineChars="200"/>
        <w:rPr>
          <w:rFonts w:ascii="宋体" w:hAnsi="宋体" w:cs="宋体"/>
          <w:sz w:val="24"/>
          <w:szCs w:val="24"/>
        </w:rPr>
      </w:pPr>
      <w:r>
        <w:rPr>
          <w:rFonts w:hint="eastAsia" w:ascii="宋体" w:hAnsi="宋体" w:cs="宋体"/>
          <w:sz w:val="24"/>
          <w:szCs w:val="24"/>
        </w:rPr>
        <w:t>（2）随同本报价书提交的辅助资料中的任何部分，经招标人确认后可作为合同文件的组成部分。</w:t>
      </w:r>
    </w:p>
    <w:p>
      <w:pPr>
        <w:widowControl w:val="0"/>
        <w:spacing w:before="0" w:after="0" w:line="460" w:lineRule="exact"/>
        <w:ind w:firstLine="480" w:firstLineChars="200"/>
        <w:rPr>
          <w:rFonts w:ascii="宋体" w:hAnsi="宋体" w:cs="宋体"/>
          <w:sz w:val="24"/>
          <w:szCs w:val="24"/>
        </w:rPr>
      </w:pPr>
      <w:r>
        <w:rPr>
          <w:rFonts w:hint="eastAsia" w:ascii="宋体" w:hAnsi="宋体" w:cs="宋体"/>
          <w:sz w:val="24"/>
          <w:szCs w:val="24"/>
        </w:rPr>
        <w:t>（3）我方保证接到招标人通知后尽快组织人员开展工作，并保证在合同规定的期限内完成合同规定的全部工作。</w:t>
      </w:r>
    </w:p>
    <w:p>
      <w:pPr>
        <w:widowControl w:val="0"/>
        <w:spacing w:before="0" w:after="0" w:line="460" w:lineRule="exact"/>
        <w:ind w:firstLine="480" w:firstLineChars="200"/>
        <w:rPr>
          <w:rFonts w:ascii="宋体" w:hAnsi="宋体" w:cs="宋体"/>
          <w:sz w:val="24"/>
          <w:szCs w:val="24"/>
        </w:rPr>
      </w:pPr>
      <w:r>
        <w:rPr>
          <w:rFonts w:hint="eastAsia" w:ascii="宋体" w:hAnsi="宋体" w:cs="宋体"/>
          <w:sz w:val="24"/>
          <w:szCs w:val="24"/>
        </w:rPr>
        <w:t>4.我方完全理解你方不保证报价最低的招标响应人能被选中。</w:t>
      </w:r>
    </w:p>
    <w:p>
      <w:pPr>
        <w:widowControl w:val="0"/>
        <w:adjustRightInd w:val="0"/>
        <w:snapToGrid w:val="0"/>
        <w:spacing w:before="0" w:after="0" w:line="460" w:lineRule="exact"/>
        <w:ind w:firstLine="2640" w:firstLineChars="1100"/>
        <w:rPr>
          <w:rFonts w:ascii="宋体" w:hAnsi="宋体" w:cs="宋体"/>
          <w:sz w:val="24"/>
          <w:szCs w:val="24"/>
        </w:rPr>
      </w:pPr>
    </w:p>
    <w:p>
      <w:pPr>
        <w:widowControl w:val="0"/>
        <w:adjustRightInd w:val="0"/>
        <w:snapToGrid w:val="0"/>
        <w:spacing w:before="0" w:after="0" w:line="460" w:lineRule="exact"/>
        <w:ind w:firstLine="2640" w:firstLineChars="1100"/>
        <w:rPr>
          <w:rFonts w:ascii="宋体" w:hAnsi="宋体" w:cs="宋体"/>
          <w:sz w:val="24"/>
          <w:szCs w:val="24"/>
        </w:rPr>
      </w:pPr>
    </w:p>
    <w:p>
      <w:pPr>
        <w:widowControl w:val="0"/>
        <w:adjustRightInd w:val="0"/>
        <w:snapToGrid w:val="0"/>
        <w:spacing w:before="0" w:after="0" w:line="460" w:lineRule="exact"/>
        <w:ind w:firstLine="2640" w:firstLineChars="110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（盖章）</w:t>
      </w:r>
    </w:p>
    <w:p>
      <w:pPr>
        <w:widowControl w:val="0"/>
        <w:adjustRightInd w:val="0"/>
        <w:snapToGrid w:val="0"/>
        <w:spacing w:before="0" w:after="0" w:line="460" w:lineRule="exact"/>
        <w:ind w:firstLine="2640" w:firstLineChars="1100"/>
        <w:rPr>
          <w:rFonts w:ascii="宋体" w:hAnsi="宋体" w:cs="宋体"/>
          <w:sz w:val="24"/>
          <w:szCs w:val="24"/>
          <w:u w:val="single"/>
        </w:rPr>
      </w:pPr>
      <w:r>
        <w:rPr>
          <w:rFonts w:hint="eastAsia" w:ascii="宋体" w:hAnsi="宋体" w:cs="宋体"/>
          <w:sz w:val="24"/>
          <w:szCs w:val="24"/>
        </w:rPr>
        <w:t>法定代表人（或委托代理人）：</w:t>
      </w:r>
      <w:r>
        <w:rPr>
          <w:rFonts w:hint="eastAsia" w:ascii="宋体" w:hAnsi="宋体" w:cs="宋体"/>
          <w:sz w:val="24"/>
          <w:szCs w:val="24"/>
          <w:u w:val="single"/>
        </w:rPr>
        <w:t xml:space="preserve">                 </w:t>
      </w:r>
    </w:p>
    <w:p>
      <w:pPr>
        <w:widowControl w:val="0"/>
        <w:adjustRightInd w:val="0"/>
        <w:snapToGrid w:val="0"/>
        <w:spacing w:before="0" w:after="0" w:line="460" w:lineRule="exact"/>
        <w:ind w:firstLine="2700" w:firstLineChars="1125"/>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pPr>
        <w:widowControl w:val="0"/>
        <w:adjustRightInd w:val="0"/>
        <w:snapToGrid w:val="0"/>
        <w:spacing w:before="0" w:after="0" w:line="460" w:lineRule="exact"/>
        <w:ind w:firstLine="2700" w:firstLineChars="1125"/>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p>
      <w:pPr>
        <w:widowControl w:val="0"/>
        <w:adjustRightInd w:val="0"/>
        <w:snapToGrid w:val="0"/>
        <w:spacing w:before="0" w:after="0" w:line="460" w:lineRule="exact"/>
        <w:ind w:firstLine="2700" w:firstLineChars="1125"/>
        <w:rPr>
          <w:rFonts w:ascii="宋体" w:hAnsi="宋体" w:cs="宋体"/>
          <w:sz w:val="24"/>
          <w:szCs w:val="24"/>
          <w:u w:val="single"/>
        </w:rPr>
      </w:pPr>
      <w:r>
        <w:rPr>
          <w:rFonts w:hint="eastAsia" w:ascii="宋体" w:hAnsi="宋体" w:cs="宋体"/>
          <w:sz w:val="24"/>
          <w:szCs w:val="24"/>
        </w:rPr>
        <w:t>传    真：</w:t>
      </w:r>
      <w:r>
        <w:rPr>
          <w:rFonts w:hint="eastAsia" w:ascii="宋体" w:hAnsi="宋体" w:cs="宋体"/>
          <w:sz w:val="24"/>
          <w:szCs w:val="24"/>
          <w:u w:val="single"/>
        </w:rPr>
        <w:t xml:space="preserve">                                  </w:t>
      </w:r>
    </w:p>
    <w:p>
      <w:pPr>
        <w:widowControl w:val="0"/>
        <w:adjustRightInd w:val="0"/>
        <w:snapToGrid w:val="0"/>
        <w:spacing w:before="0" w:after="0" w:line="460" w:lineRule="exact"/>
        <w:ind w:firstLine="2700" w:firstLineChars="1125"/>
        <w:rPr>
          <w:rFonts w:ascii="宋体" w:hAnsi="宋体" w:cs="宋体"/>
          <w:sz w:val="24"/>
          <w:szCs w:val="24"/>
          <w:u w:val="single"/>
        </w:rPr>
      </w:pPr>
      <w:r>
        <w:rPr>
          <w:rFonts w:hint="eastAsia" w:ascii="宋体" w:hAnsi="宋体" w:cs="宋体"/>
          <w:sz w:val="24"/>
          <w:szCs w:val="24"/>
        </w:rPr>
        <w:t>邮政编码：</w:t>
      </w:r>
      <w:r>
        <w:rPr>
          <w:rFonts w:hint="eastAsia" w:ascii="宋体" w:hAnsi="宋体" w:cs="宋体"/>
          <w:sz w:val="24"/>
          <w:szCs w:val="24"/>
          <w:u w:val="single"/>
        </w:rPr>
        <w:t xml:space="preserve">                                  </w:t>
      </w:r>
    </w:p>
    <w:p>
      <w:pPr>
        <w:widowControl w:val="0"/>
        <w:adjustRightInd w:val="0"/>
        <w:snapToGrid w:val="0"/>
        <w:spacing w:before="0" w:after="0" w:line="460" w:lineRule="exact"/>
        <w:ind w:firstLine="2700" w:firstLineChars="1125"/>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widowControl w:val="0"/>
        <w:adjustRightInd w:val="0"/>
        <w:snapToGrid w:val="0"/>
        <w:spacing w:before="0" w:after="0" w:line="400" w:lineRule="exact"/>
        <w:rPr>
          <w:rFonts w:ascii="宋体" w:hAnsi="宋体" w:cs="宋体"/>
          <w:sz w:val="24"/>
          <w:szCs w:val="24"/>
          <w:u w:val="single"/>
        </w:rPr>
      </w:pPr>
    </w:p>
    <w:p>
      <w:pPr>
        <w:widowControl w:val="0"/>
        <w:adjustRightInd w:val="0"/>
        <w:snapToGrid w:val="0"/>
        <w:spacing w:before="0" w:after="0" w:line="400" w:lineRule="exact"/>
        <w:rPr>
          <w:rFonts w:ascii="宋体" w:hAnsi="宋体" w:cs="宋体"/>
          <w:sz w:val="24"/>
          <w:szCs w:val="24"/>
          <w:u w:val="single"/>
        </w:rPr>
      </w:pPr>
    </w:p>
    <w:p>
      <w:pPr>
        <w:pStyle w:val="4"/>
        <w:jc w:val="center"/>
        <w:rPr>
          <w:rFonts w:ascii="宋体" w:hAnsi="宋体" w:cs="宋体"/>
          <w:b w:val="0"/>
          <w:szCs w:val="24"/>
        </w:rPr>
      </w:pPr>
      <w:bookmarkStart w:id="262" w:name="_Toc21440"/>
      <w:r>
        <w:rPr>
          <w:rFonts w:hint="eastAsia" w:ascii="宋体" w:hAnsi="宋体" w:cs="宋体"/>
          <w:szCs w:val="24"/>
        </w:rPr>
        <w:t>第3</w:t>
      </w:r>
      <w:r>
        <w:rPr>
          <w:rFonts w:hint="eastAsia" w:ascii="宋体" w:hAnsi="宋体" w:cs="宋体"/>
          <w:bCs/>
          <w:kern w:val="44"/>
          <w:szCs w:val="24"/>
        </w:rPr>
        <w:t>节</w:t>
      </w:r>
      <w:r>
        <w:rPr>
          <w:rFonts w:hint="eastAsia" w:ascii="宋体" w:hAnsi="宋体" w:cs="宋体"/>
          <w:szCs w:val="24"/>
        </w:rPr>
        <w:t xml:space="preserve"> 法定代表人身份证明书及授权委托书</w:t>
      </w:r>
      <w:bookmarkEnd w:id="262"/>
    </w:p>
    <w:p>
      <w:pPr>
        <w:spacing w:line="360" w:lineRule="auto"/>
        <w:ind w:left="420" w:leftChars="200"/>
        <w:rPr>
          <w:rFonts w:ascii="宋体" w:hAnsi="宋体" w:cs="宋体"/>
          <w:bCs/>
          <w:sz w:val="24"/>
          <w:szCs w:val="24"/>
          <w:lang w:val="zh-CN"/>
        </w:rPr>
      </w:pPr>
      <w:r>
        <w:rPr>
          <w:rFonts w:hint="eastAsia" w:ascii="宋体" w:hAnsi="宋体" w:cs="宋体"/>
          <w:bCs/>
          <w:sz w:val="24"/>
          <w:szCs w:val="24"/>
        </w:rPr>
        <w:t>3.1</w:t>
      </w:r>
      <w:r>
        <w:rPr>
          <w:rFonts w:hint="eastAsia" w:ascii="宋体" w:hAnsi="宋体" w:cs="宋体"/>
          <w:bCs/>
          <w:sz w:val="24"/>
          <w:szCs w:val="24"/>
          <w:lang w:val="zh-CN"/>
        </w:rPr>
        <w:t>法定代表人身份证明书</w:t>
      </w:r>
    </w:p>
    <w:p>
      <w:pPr>
        <w:spacing w:line="360" w:lineRule="auto"/>
        <w:jc w:val="center"/>
        <w:rPr>
          <w:rFonts w:ascii="宋体" w:hAnsi="宋体" w:cs="宋体"/>
          <w:sz w:val="24"/>
          <w:szCs w:val="24"/>
        </w:rPr>
      </w:pPr>
      <w:r>
        <w:rPr>
          <w:rFonts w:hint="eastAsia" w:ascii="宋体" w:hAnsi="宋体" w:cs="宋体"/>
          <w:b/>
          <w:sz w:val="24"/>
          <w:szCs w:val="24"/>
          <w:lang w:val="zh-CN"/>
        </w:rPr>
        <w:t>法定代表人身份证明书</w:t>
      </w:r>
    </w:p>
    <w:p>
      <w:pPr>
        <w:spacing w:line="440" w:lineRule="exact"/>
        <w:ind w:left="42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40" w:lineRule="exact"/>
        <w:ind w:left="420"/>
        <w:rPr>
          <w:rFonts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40" w:lineRule="exact"/>
        <w:ind w:left="42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440" w:lineRule="exact"/>
        <w:ind w:left="420"/>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40" w:lineRule="exact"/>
        <w:ind w:left="420"/>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pPr>
        <w:spacing w:line="440" w:lineRule="exact"/>
        <w:ind w:left="42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pacing w:line="440" w:lineRule="exact"/>
        <w:ind w:left="420"/>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（投标人名称）的法定代表人。</w:t>
      </w:r>
    </w:p>
    <w:p>
      <w:pPr>
        <w:spacing w:line="440" w:lineRule="exact"/>
        <w:ind w:left="420"/>
        <w:rPr>
          <w:rFonts w:ascii="宋体" w:hAnsi="宋体" w:cs="宋体"/>
          <w:sz w:val="24"/>
          <w:szCs w:val="24"/>
        </w:rPr>
      </w:pPr>
      <w:r>
        <w:rPr>
          <w:rFonts w:hint="eastAsia" w:ascii="宋体" w:hAnsi="宋体" w:cs="宋体"/>
          <w:sz w:val="24"/>
          <w:szCs w:val="24"/>
        </w:rPr>
        <w:t>特此证明。</w:t>
      </w:r>
    </w:p>
    <w:p>
      <w:pPr>
        <w:spacing w:line="440" w:lineRule="exact"/>
        <w:ind w:left="846"/>
        <w:rPr>
          <w:rFonts w:ascii="宋体" w:hAnsi="宋体" w:cs="宋体"/>
          <w:sz w:val="24"/>
          <w:szCs w:val="24"/>
        </w:rPr>
      </w:pPr>
    </w:p>
    <w:p>
      <w:pPr>
        <w:jc w:val="center"/>
        <w:rPr>
          <w:rFonts w:ascii="宋体" w:hAnsi="宋体" w:cs="宋体"/>
          <w:sz w:val="24"/>
          <w:szCs w:val="24"/>
        </w:rPr>
      </w:pPr>
    </w:p>
    <w:p>
      <w:pPr>
        <w:ind w:firstLine="2400" w:firstLineChars="1000"/>
        <w:rPr>
          <w:rFonts w:ascii="宋体" w:hAnsi="宋体" w:cs="宋体"/>
          <w:sz w:val="24"/>
          <w:szCs w:val="24"/>
        </w:rPr>
      </w:pPr>
      <w:r>
        <w:rPr>
          <w:rFonts w:ascii="宋体" w:hAnsi="宋体" w:eastAsia="宋体" w:cs="宋体"/>
          <w:kern w:val="2"/>
          <w:sz w:val="24"/>
          <w:szCs w:val="24"/>
          <w:lang w:val="en-US" w:eastAsia="zh-CN" w:bidi="ar-SA"/>
        </w:rPr>
        <w:drawing>
          <wp:inline distT="0" distB="0" distL="114300" distR="114300">
            <wp:extent cx="2540000" cy="1276350"/>
            <wp:effectExtent l="0" t="0" r="1270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lum/>
                    </a:blip>
                    <a:stretch>
                      <a:fillRect/>
                    </a:stretch>
                  </pic:blipFill>
                  <pic:spPr>
                    <a:xfrm>
                      <a:off x="0" y="0"/>
                      <a:ext cx="2540000" cy="1276350"/>
                    </a:xfrm>
                    <a:prstGeom prst="rect">
                      <a:avLst/>
                    </a:prstGeom>
                    <a:noFill/>
                    <a:ln>
                      <a:noFill/>
                    </a:ln>
                  </pic:spPr>
                </pic:pic>
              </a:graphicData>
            </a:graphic>
          </wp:inline>
        </w:drawing>
      </w:r>
    </w:p>
    <w:p>
      <w:pPr>
        <w:ind w:firstLine="2400" w:firstLineChars="1000"/>
        <w:rPr>
          <w:rFonts w:ascii="宋体" w:hAnsi="宋体" w:cs="宋体"/>
          <w:sz w:val="24"/>
          <w:szCs w:val="24"/>
        </w:rPr>
      </w:pPr>
    </w:p>
    <w:p>
      <w:pPr>
        <w:spacing w:before="0" w:after="0" w:line="460" w:lineRule="auto"/>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（单位名称）</w:t>
      </w:r>
      <w:r>
        <w:rPr>
          <w:rFonts w:hint="eastAsia" w:ascii="宋体" w:hAnsi="宋体" w:cs="宋体"/>
          <w:sz w:val="24"/>
          <w:szCs w:val="24"/>
        </w:rPr>
        <w:t>（盖单位公章）</w:t>
      </w:r>
    </w:p>
    <w:p>
      <w:pPr>
        <w:spacing w:before="0" w:after="0" w:line="460" w:lineRule="auto"/>
        <w:rPr>
          <w:rFonts w:ascii="宋体" w:hAnsi="宋体" w:cs="宋体"/>
          <w:sz w:val="24"/>
          <w:szCs w:val="24"/>
        </w:rPr>
      </w:pPr>
      <w:r>
        <w:rPr>
          <w:rFonts w:hint="eastAsia" w:ascii="宋体" w:hAnsi="宋体" w:cs="宋体"/>
          <w:sz w:val="24"/>
          <w:szCs w:val="24"/>
        </w:rPr>
        <w:t>法定代表人（或委托代理人）：（签名）</w:t>
      </w:r>
    </w:p>
    <w:p>
      <w:pPr>
        <w:tabs>
          <w:tab w:val="left" w:pos="1204"/>
          <w:tab w:val="left" w:pos="7800"/>
        </w:tabs>
        <w:spacing w:before="0" w:after="0" w:line="460" w:lineRule="auto"/>
        <w:rPr>
          <w:rFonts w:ascii="宋体" w:hAnsi="宋体" w:cs="宋体"/>
          <w:b/>
          <w:sz w:val="24"/>
          <w:szCs w:val="24"/>
        </w:rPr>
      </w:pPr>
      <w:r>
        <w:rPr>
          <w:rFonts w:hint="eastAsia" w:ascii="宋体" w:hAnsi="宋体" w:cs="宋体"/>
          <w:sz w:val="24"/>
          <w:szCs w:val="24"/>
        </w:rPr>
        <w:t xml:space="preserve">                              日   期：     年   月    日</w:t>
      </w:r>
    </w:p>
    <w:p>
      <w:pPr>
        <w:widowControl w:val="0"/>
        <w:adjustRightInd w:val="0"/>
        <w:snapToGrid w:val="0"/>
        <w:spacing w:before="120" w:after="120" w:line="360" w:lineRule="auto"/>
        <w:jc w:val="left"/>
        <w:rPr>
          <w:rFonts w:ascii="宋体" w:hAnsi="宋体" w:cs="宋体"/>
          <w:sz w:val="24"/>
          <w:szCs w:val="24"/>
        </w:rPr>
      </w:pPr>
    </w:p>
    <w:p>
      <w:pPr>
        <w:widowControl w:val="0"/>
        <w:adjustRightInd w:val="0"/>
        <w:snapToGrid w:val="0"/>
        <w:spacing w:before="120" w:after="120" w:line="360" w:lineRule="auto"/>
        <w:jc w:val="left"/>
        <w:rPr>
          <w:rFonts w:ascii="宋体" w:hAnsi="宋体" w:cs="宋体"/>
          <w:sz w:val="24"/>
          <w:szCs w:val="24"/>
        </w:rPr>
      </w:pPr>
    </w:p>
    <w:p>
      <w:pPr>
        <w:widowControl w:val="0"/>
        <w:adjustRightInd w:val="0"/>
        <w:snapToGrid w:val="0"/>
        <w:spacing w:before="120" w:after="120" w:line="360" w:lineRule="auto"/>
        <w:jc w:val="left"/>
        <w:rPr>
          <w:rFonts w:ascii="宋体" w:hAnsi="宋体" w:cs="宋体"/>
          <w:sz w:val="24"/>
          <w:szCs w:val="24"/>
        </w:rPr>
      </w:pPr>
    </w:p>
    <w:p>
      <w:pPr>
        <w:widowControl w:val="0"/>
        <w:adjustRightInd w:val="0"/>
        <w:snapToGrid w:val="0"/>
        <w:spacing w:before="120" w:after="120" w:line="360" w:lineRule="auto"/>
        <w:jc w:val="left"/>
        <w:rPr>
          <w:rFonts w:ascii="宋体" w:hAnsi="宋体" w:cs="宋体"/>
          <w:sz w:val="24"/>
          <w:szCs w:val="24"/>
        </w:rPr>
      </w:pPr>
      <w:r>
        <w:rPr>
          <w:rFonts w:hint="eastAsia" w:ascii="宋体" w:hAnsi="宋体" w:cs="宋体"/>
          <w:sz w:val="24"/>
          <w:szCs w:val="24"/>
        </w:rPr>
        <w:t>3.2授权委托书</w:t>
      </w:r>
    </w:p>
    <w:p>
      <w:pPr>
        <w:spacing w:before="0" w:after="0" w:line="460" w:lineRule="exact"/>
        <w:jc w:val="center"/>
        <w:rPr>
          <w:rFonts w:ascii="宋体" w:hAnsi="宋体" w:cs="宋体"/>
          <w:b/>
          <w:sz w:val="24"/>
          <w:szCs w:val="24"/>
        </w:rPr>
      </w:pPr>
      <w:r>
        <w:rPr>
          <w:rFonts w:hint="eastAsia" w:ascii="宋体" w:hAnsi="宋体" w:cs="宋体"/>
          <w:b/>
          <w:sz w:val="24"/>
          <w:szCs w:val="24"/>
        </w:rPr>
        <w:t>授权委托书</w:t>
      </w:r>
    </w:p>
    <w:p>
      <w:pPr>
        <w:spacing w:before="0" w:after="0" w:line="460" w:lineRule="exact"/>
        <w:jc w:val="left"/>
        <w:rPr>
          <w:rFonts w:ascii="宋体" w:hAnsi="宋体" w:cs="宋体"/>
          <w:sz w:val="24"/>
          <w:szCs w:val="24"/>
        </w:rPr>
      </w:pPr>
      <w:r>
        <w:rPr>
          <w:rFonts w:hint="eastAsia" w:ascii="宋体" w:hAnsi="宋体" w:cs="宋体"/>
          <w:sz w:val="24"/>
          <w:szCs w:val="24"/>
          <w:u w:val="single"/>
        </w:rPr>
        <w:t xml:space="preserve">（招标人名称）     </w:t>
      </w:r>
      <w:r>
        <w:rPr>
          <w:rFonts w:hint="eastAsia" w:ascii="宋体" w:hAnsi="宋体" w:cs="宋体"/>
          <w:sz w:val="24"/>
          <w:szCs w:val="24"/>
        </w:rPr>
        <w:t>：</w:t>
      </w:r>
    </w:p>
    <w:p>
      <w:pPr>
        <w:spacing w:before="0" w:after="0" w:line="460" w:lineRule="exact"/>
        <w:rPr>
          <w:rFonts w:ascii="宋体" w:hAnsi="宋体" w:cs="宋体"/>
          <w:sz w:val="24"/>
          <w:szCs w:val="24"/>
        </w:rPr>
      </w:pPr>
    </w:p>
    <w:p>
      <w:pPr>
        <w:spacing w:before="0" w:after="0" w:line="460" w:lineRule="exact"/>
        <w:ind w:firstLine="480" w:firstLineChars="200"/>
        <w:rPr>
          <w:rFonts w:ascii="宋体" w:hAnsi="宋体" w:cs="宋体"/>
          <w:sz w:val="24"/>
          <w:szCs w:val="24"/>
        </w:rPr>
      </w:pPr>
      <w:r>
        <w:rPr>
          <w:rFonts w:hint="eastAsia" w:ascii="宋体" w:hAnsi="宋体" w:cs="宋体"/>
          <w:sz w:val="24"/>
          <w:szCs w:val="24"/>
        </w:rPr>
        <w:t>本人</w:t>
      </w:r>
      <w:r>
        <w:rPr>
          <w:rStyle w:val="89"/>
          <w:rFonts w:hint="eastAsia" w:ascii="宋体" w:hAnsi="宋体" w:eastAsia="宋体" w:cs="宋体"/>
        </w:rPr>
        <w:t xml:space="preserve">    （姓名）   </w:t>
      </w:r>
      <w:r>
        <w:rPr>
          <w:rFonts w:hint="eastAsia" w:ascii="宋体" w:hAnsi="宋体" w:cs="宋体"/>
          <w:sz w:val="24"/>
          <w:szCs w:val="24"/>
        </w:rPr>
        <w:t>（居民身份证号码：</w:t>
      </w:r>
      <w:r>
        <w:rPr>
          <w:rFonts w:hint="eastAsia" w:ascii="宋体" w:hAnsi="宋体" w:cs="宋体"/>
          <w:sz w:val="24"/>
          <w:szCs w:val="24"/>
          <w:u w:val="single"/>
        </w:rPr>
        <w:t xml:space="preserve">              </w:t>
      </w:r>
      <w:r>
        <w:rPr>
          <w:rFonts w:hint="eastAsia" w:ascii="宋体" w:hAnsi="宋体" w:cs="宋体"/>
          <w:sz w:val="24"/>
          <w:szCs w:val="24"/>
        </w:rPr>
        <w:t>）系</w:t>
      </w:r>
      <w:r>
        <w:rPr>
          <w:rStyle w:val="89"/>
          <w:rFonts w:hint="eastAsia" w:ascii="宋体" w:hAnsi="宋体" w:eastAsia="宋体" w:cs="宋体"/>
        </w:rPr>
        <w:t xml:space="preserve">    （投标人名称）   </w:t>
      </w:r>
      <w:r>
        <w:rPr>
          <w:rFonts w:hint="eastAsia" w:ascii="宋体" w:hAnsi="宋体" w:cs="宋体"/>
          <w:sz w:val="24"/>
          <w:szCs w:val="24"/>
        </w:rPr>
        <w:t xml:space="preserve">的法定代表人，现委托 </w:t>
      </w:r>
      <w:r>
        <w:rPr>
          <w:rStyle w:val="89"/>
          <w:rFonts w:hint="eastAsia" w:ascii="宋体" w:hAnsi="宋体" w:eastAsia="宋体" w:cs="宋体"/>
        </w:rPr>
        <w:t xml:space="preserve">   （被委托人姓名、职务）  </w:t>
      </w:r>
      <w:r>
        <w:rPr>
          <w:rFonts w:hint="eastAsia" w:ascii="宋体" w:hAnsi="宋体" w:cs="宋体"/>
          <w:sz w:val="24"/>
          <w:szCs w:val="24"/>
        </w:rPr>
        <w:t xml:space="preserve"> （居民身份证编号：</w:t>
      </w:r>
      <w:r>
        <w:rPr>
          <w:rStyle w:val="89"/>
          <w:rFonts w:hint="eastAsia" w:ascii="宋体" w:hAnsi="宋体" w:eastAsia="宋体" w:cs="宋体"/>
        </w:rPr>
        <w:t xml:space="preserve">              </w:t>
      </w:r>
      <w:r>
        <w:rPr>
          <w:rFonts w:hint="eastAsia" w:ascii="宋体" w:hAnsi="宋体" w:cs="宋体"/>
          <w:sz w:val="24"/>
          <w:szCs w:val="24"/>
        </w:rPr>
        <w:t>）为我单位的委托代理人，并代表我单位就</w:t>
      </w:r>
      <w:r>
        <w:rPr>
          <w:rStyle w:val="89"/>
          <w:rFonts w:hint="eastAsia" w:ascii="宋体" w:hAnsi="宋体" w:eastAsia="宋体" w:cs="宋体"/>
        </w:rPr>
        <w:t xml:space="preserve">   （招标项目名称）  </w:t>
      </w:r>
      <w:r>
        <w:rPr>
          <w:rFonts w:hint="eastAsia" w:ascii="宋体" w:hAnsi="宋体" w:cs="宋体"/>
          <w:sz w:val="24"/>
          <w:szCs w:val="24"/>
        </w:rPr>
        <w:t>（合同编号</w:t>
      </w:r>
      <w:r>
        <w:rPr>
          <w:rStyle w:val="89"/>
          <w:rFonts w:hint="eastAsia" w:ascii="宋体" w:hAnsi="宋体" w:eastAsia="宋体" w:cs="宋体"/>
        </w:rPr>
        <w:t xml:space="preserve">：          </w:t>
      </w:r>
      <w:r>
        <w:rPr>
          <w:rFonts w:hint="eastAsia" w:ascii="宋体" w:hAnsi="宋体" w:cs="宋体"/>
          <w:sz w:val="24"/>
          <w:szCs w:val="24"/>
        </w:rPr>
        <w:t>）签署投标文件、进行谈判、签订合同和处理与之有关的一切事务，其签名真迹如本授权委托书尾所示，授权人均认可，承担一切责任。</w:t>
      </w:r>
    </w:p>
    <w:p>
      <w:pPr>
        <w:spacing w:before="0" w:after="0" w:line="460" w:lineRule="exact"/>
        <w:ind w:firstLine="480" w:firstLineChars="200"/>
        <w:rPr>
          <w:rFonts w:ascii="宋体" w:hAnsi="宋体" w:cs="宋体"/>
          <w:sz w:val="24"/>
          <w:szCs w:val="24"/>
        </w:rPr>
      </w:pPr>
      <w:r>
        <w:rPr>
          <w:rFonts w:hint="eastAsia" w:ascii="宋体" w:hAnsi="宋体" w:cs="宋体"/>
          <w:sz w:val="24"/>
          <w:szCs w:val="24"/>
        </w:rPr>
        <w:t>本授权委托书有效期内转委托无效。</w:t>
      </w:r>
    </w:p>
    <w:p>
      <w:pPr>
        <w:spacing w:before="0" w:after="0" w:line="460" w:lineRule="exact"/>
        <w:ind w:firstLine="480" w:firstLineChars="200"/>
        <w:rPr>
          <w:rFonts w:ascii="宋体" w:hAnsi="宋体" w:cs="宋体"/>
          <w:sz w:val="24"/>
          <w:szCs w:val="24"/>
        </w:rPr>
      </w:pPr>
      <w:r>
        <w:rPr>
          <w:rFonts w:hint="eastAsia" w:ascii="宋体" w:hAnsi="宋体" w:cs="宋体"/>
          <w:sz w:val="24"/>
          <w:szCs w:val="24"/>
        </w:rPr>
        <w:t>本授权书有效期：自本授权委托书签发之日起开始生效。</w:t>
      </w:r>
    </w:p>
    <w:p>
      <w:pPr>
        <w:spacing w:before="0" w:after="0" w:line="460" w:lineRule="exact"/>
        <w:ind w:firstLine="2340" w:firstLineChars="975"/>
        <w:rPr>
          <w:rFonts w:ascii="宋体" w:hAnsi="宋体" w:cs="宋体"/>
          <w:sz w:val="24"/>
          <w:szCs w:val="24"/>
        </w:rPr>
      </w:pPr>
    </w:p>
    <w:p>
      <w:pPr>
        <w:spacing w:before="0" w:after="0" w:line="460" w:lineRule="exact"/>
        <w:rPr>
          <w:rStyle w:val="89"/>
          <w:rFonts w:ascii="宋体" w:hAnsi="宋体" w:eastAsia="宋体" w:cs="宋体"/>
        </w:rPr>
      </w:pPr>
      <w:r>
        <w:rPr>
          <w:rFonts w:hint="eastAsia" w:ascii="宋体" w:hAnsi="宋体" w:cs="宋体"/>
          <w:sz w:val="24"/>
          <w:szCs w:val="24"/>
        </w:rPr>
        <w:t xml:space="preserve">                              授权委托单位：</w:t>
      </w:r>
      <w:r>
        <w:rPr>
          <w:rStyle w:val="89"/>
          <w:rFonts w:hint="eastAsia" w:ascii="宋体" w:hAnsi="宋体" w:eastAsia="宋体" w:cs="宋体"/>
        </w:rPr>
        <w:t xml:space="preserve">       （名称）      </w:t>
      </w:r>
    </w:p>
    <w:p>
      <w:pPr>
        <w:pStyle w:val="44"/>
        <w:spacing w:before="0" w:after="0" w:line="460" w:lineRule="exact"/>
        <w:rPr>
          <w:rFonts w:ascii="宋体" w:hAnsi="宋体" w:eastAsia="宋体" w:cs="宋体"/>
        </w:rPr>
      </w:pPr>
      <w:r>
        <w:rPr>
          <w:rFonts w:hint="eastAsia" w:ascii="宋体" w:hAnsi="宋体" w:eastAsia="宋体" w:cs="宋体"/>
        </w:rPr>
        <w:t xml:space="preserve">                                              </w:t>
      </w:r>
    </w:p>
    <w:p>
      <w:pPr>
        <w:spacing w:before="0" w:after="0" w:line="460" w:lineRule="exact"/>
        <w:rPr>
          <w:rStyle w:val="89"/>
          <w:rFonts w:ascii="宋体" w:hAnsi="宋体" w:eastAsia="宋体" w:cs="宋体"/>
        </w:rPr>
      </w:pPr>
      <w:r>
        <w:rPr>
          <w:rFonts w:hint="eastAsia" w:ascii="宋体" w:hAnsi="宋体" w:cs="宋体"/>
          <w:sz w:val="24"/>
          <w:szCs w:val="24"/>
        </w:rPr>
        <w:t xml:space="preserve">                                法定代表人：</w:t>
      </w:r>
      <w:r>
        <w:rPr>
          <w:rStyle w:val="89"/>
          <w:rFonts w:hint="eastAsia" w:ascii="宋体" w:hAnsi="宋体" w:eastAsia="宋体" w:cs="宋体"/>
        </w:rPr>
        <w:t xml:space="preserve">       （姓名）      </w:t>
      </w:r>
    </w:p>
    <w:p>
      <w:pPr>
        <w:pStyle w:val="44"/>
        <w:spacing w:before="0" w:after="0" w:line="460" w:lineRule="exact"/>
        <w:rPr>
          <w:rFonts w:ascii="宋体" w:hAnsi="宋体" w:eastAsia="宋体" w:cs="宋体"/>
        </w:rPr>
      </w:pPr>
      <w:r>
        <w:rPr>
          <w:rFonts w:hint="eastAsia" w:ascii="宋体" w:hAnsi="宋体" w:eastAsia="宋体" w:cs="宋体"/>
        </w:rPr>
        <w:t xml:space="preserve">                                                   </w:t>
      </w:r>
    </w:p>
    <w:p>
      <w:pPr>
        <w:spacing w:before="0" w:after="0" w:line="460" w:lineRule="exact"/>
        <w:rPr>
          <w:rStyle w:val="89"/>
          <w:rFonts w:ascii="宋体" w:hAnsi="宋体" w:eastAsia="宋体" w:cs="宋体"/>
        </w:rPr>
      </w:pPr>
      <w:r>
        <w:rPr>
          <w:rFonts w:hint="eastAsia" w:ascii="宋体" w:hAnsi="宋体" w:cs="宋体"/>
          <w:sz w:val="24"/>
          <w:szCs w:val="24"/>
        </w:rPr>
        <w:t xml:space="preserve">                                委托代理人：</w:t>
      </w:r>
      <w:r>
        <w:rPr>
          <w:rStyle w:val="89"/>
          <w:rFonts w:hint="eastAsia" w:ascii="宋体" w:hAnsi="宋体" w:eastAsia="宋体" w:cs="宋体"/>
        </w:rPr>
        <w:t xml:space="preserve">       （姓名）      </w:t>
      </w:r>
    </w:p>
    <w:p>
      <w:pPr>
        <w:pStyle w:val="44"/>
        <w:spacing w:before="0" w:after="0" w:line="460" w:lineRule="exact"/>
        <w:rPr>
          <w:rFonts w:ascii="宋体" w:hAnsi="宋体" w:eastAsia="宋体" w:cs="宋体"/>
        </w:rPr>
      </w:pPr>
      <w:r>
        <w:rPr>
          <w:rFonts w:hint="eastAsia" w:ascii="宋体" w:hAnsi="宋体" w:eastAsia="宋体" w:cs="宋体"/>
        </w:rPr>
        <w:t xml:space="preserve">                                                  </w:t>
      </w:r>
    </w:p>
    <w:p>
      <w:pPr>
        <w:spacing w:before="0" w:after="0" w:line="460" w:lineRule="exact"/>
        <w:ind w:firstLine="3180" w:firstLineChars="1325"/>
        <w:rPr>
          <w:rFonts w:ascii="宋体" w:hAnsi="宋体" w:cs="宋体"/>
          <w:sz w:val="24"/>
          <w:szCs w:val="24"/>
        </w:rPr>
      </w:pPr>
      <w:r>
        <w:rPr>
          <w:rFonts w:hint="eastAsia" w:ascii="宋体" w:hAnsi="宋体" w:cs="宋体"/>
          <w:sz w:val="24"/>
          <w:szCs w:val="24"/>
        </w:rPr>
        <w:t>本授权书签发日期：______年_____月_____日</w:t>
      </w:r>
    </w:p>
    <w:p>
      <w:pPr>
        <w:spacing w:before="0" w:after="0" w:line="460" w:lineRule="exact"/>
        <w:jc w:val="center"/>
        <w:rPr>
          <w:rFonts w:ascii="宋体" w:hAnsi="宋体" w:cs="宋体"/>
          <w:b/>
          <w:sz w:val="24"/>
          <w:szCs w:val="24"/>
        </w:rPr>
      </w:pPr>
      <w:r>
        <w:rPr>
          <w:rFonts w:hint="eastAsia" w:ascii="宋体" w:hAnsi="宋体" w:cs="宋体"/>
          <w:b/>
          <w:sz w:val="24"/>
          <w:szCs w:val="24"/>
        </w:rPr>
        <w:t>（重要提醒：本授权委托书签发日期应在投标截止日期之前）</w:t>
      </w:r>
    </w:p>
    <w:p>
      <w:pPr>
        <w:spacing w:before="0" w:after="0" w:line="460" w:lineRule="exact"/>
        <w:ind w:firstLine="480" w:firstLineChars="200"/>
        <w:rPr>
          <w:rFonts w:ascii="宋体" w:hAnsi="宋体" w:cs="宋体"/>
          <w:sz w:val="24"/>
          <w:szCs w:val="24"/>
        </w:rPr>
      </w:pPr>
      <w:r>
        <w:rPr>
          <w:rFonts w:hint="eastAsia" w:ascii="宋体" w:hAnsi="宋体" w:cs="宋体"/>
          <w:sz w:val="24"/>
          <w:szCs w:val="24"/>
        </w:rPr>
        <w:t>附：委托代理人简况</w:t>
      </w:r>
    </w:p>
    <w:p>
      <w:pPr>
        <w:tabs>
          <w:tab w:val="left" w:pos="3960"/>
          <w:tab w:val="left" w:pos="6120"/>
        </w:tabs>
        <w:spacing w:before="0" w:after="0" w:line="460" w:lineRule="exact"/>
        <w:ind w:firstLine="480" w:firstLineChars="200"/>
        <w:rPr>
          <w:rFonts w:ascii="宋体" w:hAnsi="宋体" w:cs="宋体"/>
          <w:sz w:val="24"/>
          <w:szCs w:val="24"/>
        </w:rPr>
      </w:pPr>
      <w:r>
        <w:rPr>
          <w:rFonts w:hint="eastAsia" w:ascii="宋体" w:hAnsi="宋体" w:cs="宋体"/>
          <w:sz w:val="24"/>
          <w:szCs w:val="24"/>
        </w:rPr>
        <w:t>姓名：__________________    年龄：_______    性别：________</w:t>
      </w:r>
    </w:p>
    <w:p>
      <w:pPr>
        <w:spacing w:before="0" w:after="0" w:line="460" w:lineRule="exact"/>
        <w:ind w:firstLine="480" w:firstLineChars="200"/>
        <w:rPr>
          <w:rFonts w:ascii="宋体" w:hAnsi="宋体" w:cs="宋体"/>
          <w:sz w:val="24"/>
          <w:szCs w:val="24"/>
        </w:rPr>
      </w:pPr>
      <w:r>
        <w:rPr>
          <w:rFonts w:ascii="宋体" w:hAnsi="宋体" w:eastAsia="宋体" w:cs="宋体"/>
          <w:kern w:val="2"/>
          <w:sz w:val="24"/>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2505075</wp:posOffset>
                </wp:positionH>
                <wp:positionV relativeFrom="paragraph">
                  <wp:posOffset>100965</wp:posOffset>
                </wp:positionV>
                <wp:extent cx="2628900" cy="1248410"/>
                <wp:effectExtent l="4445" t="4445" r="14605" b="23495"/>
                <wp:wrapNone/>
                <wp:docPr id="1" name="矩形 5"/>
                <wp:cNvGraphicFramePr/>
                <a:graphic xmlns:a="http://schemas.openxmlformats.org/drawingml/2006/main">
                  <a:graphicData uri="http://schemas.microsoft.com/office/word/2010/wordprocessingShape">
                    <wps:wsp>
                      <wps:cNvSpPr/>
                      <wps:spPr>
                        <a:xfrm>
                          <a:off x="0" y="0"/>
                          <a:ext cx="2628900" cy="1248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360" w:lineRule="auto"/>
                            </w:pPr>
                            <w:r>
                              <w:rPr>
                                <w:rFonts w:hint="eastAsia" w:ascii="仿宋_GB2312" w:eastAsia="仿宋_GB2312"/>
                                <w:szCs w:val="21"/>
                              </w:rPr>
                              <w:t>（委托代理人居民身份证复印件粘贴处）</w:t>
                            </w:r>
                          </w:p>
                        </w:txbxContent>
                      </wps:txbx>
                      <wps:bodyPr upright="1"/>
                    </wps:wsp>
                  </a:graphicData>
                </a:graphic>
              </wp:anchor>
            </w:drawing>
          </mc:Choice>
          <mc:Fallback>
            <w:pict>
              <v:rect id="矩形 5" o:spid="_x0000_s1026" o:spt="1" style="position:absolute;left:0pt;margin-left:197.25pt;margin-top:7.95pt;height:98.3pt;width:207pt;z-index:251658240;mso-width-relative:page;mso-height-relative:page;" fillcolor="#FFFFFF" filled="t" stroked="t" coordsize="21600,21600" o:gfxdata="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tBp1wAAAAoBAAAPAAAAAAAAAAEAIAAAACIAAABkcnMv&#10;ZG93bnJldi54bWxQSwECFAAUAAAACACHTuJAO1A/LgQCAAAqBAAADgAAAAAAAAABACAAAAAmAQAA&#10;ZHJzL2Uyb0RvYy54bWxQSwUGAAAAAAYABgBZAQAAnAUAAAAA&#10;">
                <v:fill on="t" focussize="0,0"/>
                <v:stroke color="#000000" joinstyle="miter"/>
                <v:imagedata o:title=""/>
                <o:lock v:ext="edit" aspectratio="f"/>
                <v:textbox>
                  <w:txbxContent>
                    <w:p>
                      <w:pPr>
                        <w:jc w:val="center"/>
                      </w:pPr>
                    </w:p>
                    <w:p>
                      <w:pPr>
                        <w:spacing w:line="360" w:lineRule="auto"/>
                      </w:pPr>
                      <w:r>
                        <w:rPr>
                          <w:rFonts w:hint="eastAsia" w:ascii="仿宋_GB2312" w:eastAsia="仿宋_GB2312"/>
                          <w:szCs w:val="21"/>
                        </w:rPr>
                        <w:t>（委托代理人居民身份证复印件粘贴处）</w:t>
                      </w:r>
                    </w:p>
                  </w:txbxContent>
                </v:textbox>
              </v:rect>
            </w:pict>
          </mc:Fallback>
        </mc:AlternateContent>
      </w:r>
      <w:r>
        <w:rPr>
          <w:rFonts w:hint="eastAsia" w:ascii="宋体" w:hAnsi="宋体" w:cs="宋体"/>
          <w:sz w:val="24"/>
          <w:szCs w:val="24"/>
        </w:rPr>
        <w:t>职务：__________________</w:t>
      </w:r>
    </w:p>
    <w:p>
      <w:pPr>
        <w:spacing w:before="0" w:after="0" w:line="460" w:lineRule="exact"/>
        <w:ind w:firstLine="480" w:firstLineChars="200"/>
        <w:rPr>
          <w:rFonts w:ascii="宋体" w:hAnsi="宋体" w:cs="宋体"/>
          <w:sz w:val="24"/>
          <w:szCs w:val="24"/>
        </w:rPr>
      </w:pPr>
      <w:r>
        <w:rPr>
          <w:rFonts w:hint="eastAsia" w:ascii="宋体" w:hAnsi="宋体" w:cs="宋体"/>
          <w:sz w:val="24"/>
          <w:szCs w:val="24"/>
        </w:rPr>
        <w:t>居民身份证编号：________</w:t>
      </w:r>
    </w:p>
    <w:p>
      <w:pPr>
        <w:spacing w:before="0" w:after="0" w:line="460" w:lineRule="exact"/>
        <w:ind w:firstLine="480" w:firstLineChars="200"/>
        <w:rPr>
          <w:rFonts w:ascii="宋体" w:hAnsi="宋体" w:cs="宋体"/>
          <w:sz w:val="24"/>
          <w:szCs w:val="24"/>
        </w:rPr>
      </w:pPr>
      <w:r>
        <w:rPr>
          <w:rFonts w:hint="eastAsia" w:ascii="宋体" w:hAnsi="宋体" w:cs="宋体"/>
          <w:sz w:val="24"/>
          <w:szCs w:val="24"/>
        </w:rPr>
        <w:t>通讯地址：______________</w:t>
      </w:r>
    </w:p>
    <w:p>
      <w:pPr>
        <w:tabs>
          <w:tab w:val="left" w:pos="5220"/>
        </w:tabs>
        <w:spacing w:before="0" w:after="0" w:line="460" w:lineRule="exact"/>
        <w:ind w:firstLine="480" w:firstLineChars="200"/>
        <w:rPr>
          <w:rFonts w:ascii="宋体" w:hAnsi="宋体" w:cs="宋体"/>
          <w:sz w:val="24"/>
          <w:szCs w:val="24"/>
        </w:rPr>
      </w:pPr>
      <w:r>
        <w:rPr>
          <w:rFonts w:hint="eastAsia" w:ascii="宋体" w:hAnsi="宋体" w:cs="宋体"/>
          <w:sz w:val="24"/>
          <w:szCs w:val="24"/>
        </w:rPr>
        <w:t>邮编：__________________</w:t>
      </w:r>
      <w:r>
        <w:rPr>
          <w:rFonts w:hint="eastAsia" w:ascii="宋体" w:hAnsi="宋体" w:cs="宋体"/>
          <w:sz w:val="24"/>
          <w:szCs w:val="24"/>
        </w:rPr>
        <w:tab/>
      </w:r>
    </w:p>
    <w:p>
      <w:pPr>
        <w:spacing w:before="0" w:after="0" w:line="460" w:lineRule="exact"/>
        <w:ind w:firstLine="480" w:firstLineChars="200"/>
        <w:rPr>
          <w:rFonts w:ascii="宋体" w:hAnsi="宋体" w:cs="宋体"/>
          <w:sz w:val="24"/>
          <w:szCs w:val="24"/>
        </w:rPr>
      </w:pPr>
      <w:r>
        <w:rPr>
          <w:rFonts w:hint="eastAsia" w:ascii="宋体" w:hAnsi="宋体" w:cs="宋体"/>
          <w:sz w:val="24"/>
          <w:szCs w:val="24"/>
        </w:rPr>
        <w:t>电话：__________________</w:t>
      </w:r>
    </w:p>
    <w:p>
      <w:pPr>
        <w:rPr>
          <w:rFonts w:ascii="宋体" w:hAnsi="宋体" w:cs="宋体"/>
          <w:sz w:val="24"/>
          <w:szCs w:val="24"/>
        </w:rPr>
      </w:pPr>
    </w:p>
    <w:p>
      <w:pPr>
        <w:pStyle w:val="31"/>
        <w:ind w:firstLine="0" w:firstLineChars="0"/>
      </w:pPr>
    </w:p>
    <w:p>
      <w:pPr>
        <w:pStyle w:val="4"/>
        <w:jc w:val="both"/>
        <w:rPr>
          <w:rFonts w:ascii="宋体" w:hAnsi="宋体" w:cs="宋体"/>
          <w:szCs w:val="24"/>
        </w:rPr>
      </w:pPr>
      <w:r>
        <w:rPr>
          <w:rFonts w:hint="eastAsia" w:ascii="宋体" w:hAnsi="宋体" w:cs="宋体"/>
          <w:szCs w:val="24"/>
        </w:rPr>
        <w:t xml:space="preserve">第4节 </w:t>
      </w:r>
      <w:bookmarkStart w:id="263" w:name="_Toc470790881"/>
      <w:r>
        <w:rPr>
          <w:rFonts w:hint="eastAsia" w:ascii="宋体" w:hAnsi="宋体" w:cs="宋体"/>
          <w:szCs w:val="24"/>
        </w:rPr>
        <w:t xml:space="preserve"> 投标人资格证明文件（格式）</w:t>
      </w:r>
      <w:bookmarkEnd w:id="263"/>
    </w:p>
    <w:p>
      <w:pPr>
        <w:spacing w:line="360" w:lineRule="auto"/>
        <w:ind w:left="482"/>
        <w:outlineLvl w:val="2"/>
        <w:rPr>
          <w:rFonts w:ascii="宋体" w:hAnsi="宋体" w:cs="宋体"/>
          <w:b/>
          <w:bCs/>
          <w:sz w:val="24"/>
          <w:szCs w:val="24"/>
        </w:rPr>
      </w:pPr>
      <w:r>
        <w:rPr>
          <w:rFonts w:hint="eastAsia" w:ascii="宋体" w:hAnsi="宋体" w:cs="宋体"/>
          <w:b/>
          <w:bCs/>
          <w:sz w:val="24"/>
          <w:szCs w:val="24"/>
        </w:rPr>
        <w:t>4.1投标人基本情况</w:t>
      </w:r>
    </w:p>
    <w:tbl>
      <w:tblPr>
        <w:tblStyle w:val="3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957"/>
        <w:gridCol w:w="1380"/>
        <w:gridCol w:w="1233"/>
        <w:gridCol w:w="1407"/>
        <w:gridCol w:w="323"/>
        <w:gridCol w:w="92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投标人名称</w:t>
            </w:r>
          </w:p>
        </w:tc>
        <w:tc>
          <w:tcPr>
            <w:tcW w:w="7352" w:type="dxa"/>
            <w:gridSpan w:val="7"/>
            <w:vAlign w:val="center"/>
          </w:tcPr>
          <w:p>
            <w:pPr>
              <w:autoSpaceDE w:val="0"/>
              <w:autoSpaceDN w:val="0"/>
              <w:adjustRightInd w:val="0"/>
              <w:spacing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注册地址</w:t>
            </w:r>
          </w:p>
        </w:tc>
        <w:tc>
          <w:tcPr>
            <w:tcW w:w="3570" w:type="dxa"/>
            <w:gridSpan w:val="3"/>
            <w:vAlign w:val="center"/>
          </w:tcPr>
          <w:p>
            <w:pPr>
              <w:autoSpaceDE w:val="0"/>
              <w:autoSpaceDN w:val="0"/>
              <w:adjustRightInd w:val="0"/>
              <w:spacing w:line="560" w:lineRule="exact"/>
              <w:jc w:val="center"/>
              <w:rPr>
                <w:rFonts w:ascii="宋体" w:hAnsi="宋体" w:cs="宋体"/>
                <w:kern w:val="0"/>
                <w:sz w:val="24"/>
                <w:szCs w:val="24"/>
              </w:rPr>
            </w:pPr>
          </w:p>
        </w:tc>
        <w:tc>
          <w:tcPr>
            <w:tcW w:w="1407"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邮政编码</w:t>
            </w:r>
          </w:p>
        </w:tc>
        <w:tc>
          <w:tcPr>
            <w:tcW w:w="2375" w:type="dxa"/>
            <w:gridSpan w:val="3"/>
            <w:vAlign w:val="center"/>
          </w:tcPr>
          <w:p>
            <w:pPr>
              <w:autoSpaceDE w:val="0"/>
              <w:autoSpaceDN w:val="0"/>
              <w:adjustRightInd w:val="0"/>
              <w:spacing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8" w:type="dxa"/>
            <w:vMerge w:val="restart"/>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联系方式</w:t>
            </w:r>
          </w:p>
        </w:tc>
        <w:tc>
          <w:tcPr>
            <w:tcW w:w="957"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联系人</w:t>
            </w:r>
          </w:p>
        </w:tc>
        <w:tc>
          <w:tcPr>
            <w:tcW w:w="2613" w:type="dxa"/>
            <w:gridSpan w:val="2"/>
            <w:vAlign w:val="center"/>
          </w:tcPr>
          <w:p>
            <w:pPr>
              <w:autoSpaceDE w:val="0"/>
              <w:autoSpaceDN w:val="0"/>
              <w:adjustRightInd w:val="0"/>
              <w:spacing w:line="560" w:lineRule="exact"/>
              <w:jc w:val="center"/>
              <w:rPr>
                <w:rFonts w:ascii="宋体" w:hAnsi="宋体" w:cs="宋体"/>
                <w:kern w:val="0"/>
                <w:sz w:val="24"/>
                <w:szCs w:val="24"/>
              </w:rPr>
            </w:pPr>
          </w:p>
        </w:tc>
        <w:tc>
          <w:tcPr>
            <w:tcW w:w="1407"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电话</w:t>
            </w:r>
          </w:p>
        </w:tc>
        <w:tc>
          <w:tcPr>
            <w:tcW w:w="2375" w:type="dxa"/>
            <w:gridSpan w:val="3"/>
            <w:vAlign w:val="center"/>
          </w:tcPr>
          <w:p>
            <w:pPr>
              <w:autoSpaceDE w:val="0"/>
              <w:autoSpaceDN w:val="0"/>
              <w:adjustRightInd w:val="0"/>
              <w:spacing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8" w:type="dxa"/>
            <w:vMerge w:val="continue"/>
            <w:vAlign w:val="center"/>
          </w:tcPr>
          <w:p>
            <w:pPr>
              <w:autoSpaceDE w:val="0"/>
              <w:autoSpaceDN w:val="0"/>
              <w:adjustRightInd w:val="0"/>
              <w:spacing w:line="560" w:lineRule="exact"/>
              <w:jc w:val="center"/>
              <w:rPr>
                <w:rFonts w:ascii="宋体" w:hAnsi="宋体" w:cs="宋体"/>
                <w:kern w:val="0"/>
                <w:sz w:val="24"/>
                <w:szCs w:val="24"/>
              </w:rPr>
            </w:pPr>
          </w:p>
        </w:tc>
        <w:tc>
          <w:tcPr>
            <w:tcW w:w="957"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传真</w:t>
            </w:r>
          </w:p>
        </w:tc>
        <w:tc>
          <w:tcPr>
            <w:tcW w:w="2613" w:type="dxa"/>
            <w:gridSpan w:val="2"/>
            <w:vAlign w:val="center"/>
          </w:tcPr>
          <w:p>
            <w:pPr>
              <w:autoSpaceDE w:val="0"/>
              <w:autoSpaceDN w:val="0"/>
              <w:adjustRightInd w:val="0"/>
              <w:spacing w:line="560" w:lineRule="exact"/>
              <w:jc w:val="center"/>
              <w:rPr>
                <w:rFonts w:ascii="宋体" w:hAnsi="宋体" w:cs="宋体"/>
                <w:kern w:val="0"/>
                <w:sz w:val="24"/>
                <w:szCs w:val="24"/>
              </w:rPr>
            </w:pPr>
          </w:p>
        </w:tc>
        <w:tc>
          <w:tcPr>
            <w:tcW w:w="1407"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网址</w:t>
            </w:r>
          </w:p>
        </w:tc>
        <w:tc>
          <w:tcPr>
            <w:tcW w:w="2375" w:type="dxa"/>
            <w:gridSpan w:val="3"/>
            <w:vAlign w:val="center"/>
          </w:tcPr>
          <w:p>
            <w:pPr>
              <w:autoSpaceDE w:val="0"/>
              <w:autoSpaceDN w:val="0"/>
              <w:adjustRightInd w:val="0"/>
              <w:spacing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法定代表人</w:t>
            </w:r>
          </w:p>
        </w:tc>
        <w:tc>
          <w:tcPr>
            <w:tcW w:w="957"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姓名</w:t>
            </w:r>
          </w:p>
        </w:tc>
        <w:tc>
          <w:tcPr>
            <w:tcW w:w="1380" w:type="dxa"/>
            <w:vAlign w:val="center"/>
          </w:tcPr>
          <w:p>
            <w:pPr>
              <w:autoSpaceDE w:val="0"/>
              <w:autoSpaceDN w:val="0"/>
              <w:adjustRightInd w:val="0"/>
              <w:spacing w:line="560" w:lineRule="exact"/>
              <w:jc w:val="center"/>
              <w:rPr>
                <w:rFonts w:ascii="宋体" w:hAnsi="宋体" w:cs="宋体"/>
                <w:kern w:val="0"/>
                <w:sz w:val="24"/>
                <w:szCs w:val="24"/>
              </w:rPr>
            </w:pPr>
          </w:p>
        </w:tc>
        <w:tc>
          <w:tcPr>
            <w:tcW w:w="1233"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技术职称</w:t>
            </w:r>
          </w:p>
        </w:tc>
        <w:tc>
          <w:tcPr>
            <w:tcW w:w="1407" w:type="dxa"/>
            <w:vAlign w:val="center"/>
          </w:tcPr>
          <w:p>
            <w:pPr>
              <w:autoSpaceDE w:val="0"/>
              <w:autoSpaceDN w:val="0"/>
              <w:adjustRightInd w:val="0"/>
              <w:spacing w:line="560" w:lineRule="exact"/>
              <w:jc w:val="center"/>
              <w:rPr>
                <w:rFonts w:ascii="宋体" w:hAnsi="宋体" w:cs="宋体"/>
                <w:kern w:val="0"/>
                <w:sz w:val="24"/>
                <w:szCs w:val="24"/>
              </w:rPr>
            </w:pPr>
          </w:p>
        </w:tc>
        <w:tc>
          <w:tcPr>
            <w:tcW w:w="1243" w:type="dxa"/>
            <w:gridSpan w:val="2"/>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电话</w:t>
            </w:r>
          </w:p>
        </w:tc>
        <w:tc>
          <w:tcPr>
            <w:tcW w:w="1132" w:type="dxa"/>
            <w:vAlign w:val="center"/>
          </w:tcPr>
          <w:p>
            <w:pPr>
              <w:autoSpaceDE w:val="0"/>
              <w:autoSpaceDN w:val="0"/>
              <w:adjustRightInd w:val="0"/>
              <w:spacing w:line="560" w:lineRule="exact"/>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技术负责人</w:t>
            </w:r>
          </w:p>
        </w:tc>
        <w:tc>
          <w:tcPr>
            <w:tcW w:w="957"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姓名</w:t>
            </w:r>
          </w:p>
        </w:tc>
        <w:tc>
          <w:tcPr>
            <w:tcW w:w="1380" w:type="dxa"/>
            <w:vAlign w:val="center"/>
          </w:tcPr>
          <w:p>
            <w:pPr>
              <w:autoSpaceDE w:val="0"/>
              <w:autoSpaceDN w:val="0"/>
              <w:adjustRightInd w:val="0"/>
              <w:spacing w:line="560" w:lineRule="exact"/>
              <w:jc w:val="center"/>
              <w:rPr>
                <w:rFonts w:ascii="宋体" w:hAnsi="宋体" w:cs="宋体"/>
                <w:kern w:val="0"/>
                <w:sz w:val="24"/>
                <w:szCs w:val="24"/>
              </w:rPr>
            </w:pPr>
          </w:p>
        </w:tc>
        <w:tc>
          <w:tcPr>
            <w:tcW w:w="1233"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技术职称</w:t>
            </w:r>
          </w:p>
        </w:tc>
        <w:tc>
          <w:tcPr>
            <w:tcW w:w="1407" w:type="dxa"/>
            <w:vAlign w:val="center"/>
          </w:tcPr>
          <w:p>
            <w:pPr>
              <w:autoSpaceDE w:val="0"/>
              <w:autoSpaceDN w:val="0"/>
              <w:adjustRightInd w:val="0"/>
              <w:spacing w:line="560" w:lineRule="exact"/>
              <w:jc w:val="center"/>
              <w:rPr>
                <w:rFonts w:ascii="宋体" w:hAnsi="宋体" w:cs="宋体"/>
                <w:kern w:val="0"/>
                <w:sz w:val="24"/>
                <w:szCs w:val="24"/>
              </w:rPr>
            </w:pPr>
          </w:p>
        </w:tc>
        <w:tc>
          <w:tcPr>
            <w:tcW w:w="1243" w:type="dxa"/>
            <w:gridSpan w:val="2"/>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电话</w:t>
            </w:r>
          </w:p>
        </w:tc>
        <w:tc>
          <w:tcPr>
            <w:tcW w:w="1132" w:type="dxa"/>
            <w:vAlign w:val="center"/>
          </w:tcPr>
          <w:p>
            <w:pPr>
              <w:autoSpaceDE w:val="0"/>
              <w:autoSpaceDN w:val="0"/>
              <w:adjustRightInd w:val="0"/>
              <w:spacing w:line="560" w:lineRule="exact"/>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财务负责人</w:t>
            </w:r>
          </w:p>
        </w:tc>
        <w:tc>
          <w:tcPr>
            <w:tcW w:w="957"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姓名</w:t>
            </w:r>
          </w:p>
        </w:tc>
        <w:tc>
          <w:tcPr>
            <w:tcW w:w="1380" w:type="dxa"/>
            <w:vAlign w:val="center"/>
          </w:tcPr>
          <w:p>
            <w:pPr>
              <w:autoSpaceDE w:val="0"/>
              <w:autoSpaceDN w:val="0"/>
              <w:adjustRightInd w:val="0"/>
              <w:spacing w:line="560" w:lineRule="exact"/>
              <w:jc w:val="center"/>
              <w:rPr>
                <w:rFonts w:ascii="宋体" w:hAnsi="宋体" w:cs="宋体"/>
                <w:kern w:val="0"/>
                <w:sz w:val="24"/>
                <w:szCs w:val="24"/>
              </w:rPr>
            </w:pPr>
          </w:p>
        </w:tc>
        <w:tc>
          <w:tcPr>
            <w:tcW w:w="1233"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技术职称</w:t>
            </w:r>
          </w:p>
        </w:tc>
        <w:tc>
          <w:tcPr>
            <w:tcW w:w="1407" w:type="dxa"/>
            <w:vAlign w:val="center"/>
          </w:tcPr>
          <w:p>
            <w:pPr>
              <w:autoSpaceDE w:val="0"/>
              <w:autoSpaceDN w:val="0"/>
              <w:adjustRightInd w:val="0"/>
              <w:spacing w:line="560" w:lineRule="exact"/>
              <w:jc w:val="center"/>
              <w:rPr>
                <w:rFonts w:ascii="宋体" w:hAnsi="宋体" w:cs="宋体"/>
                <w:kern w:val="0"/>
                <w:sz w:val="24"/>
                <w:szCs w:val="24"/>
              </w:rPr>
            </w:pPr>
          </w:p>
        </w:tc>
        <w:tc>
          <w:tcPr>
            <w:tcW w:w="1243" w:type="dxa"/>
            <w:gridSpan w:val="2"/>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电话</w:t>
            </w:r>
          </w:p>
        </w:tc>
        <w:tc>
          <w:tcPr>
            <w:tcW w:w="1132" w:type="dxa"/>
            <w:vAlign w:val="center"/>
          </w:tcPr>
          <w:p>
            <w:pPr>
              <w:autoSpaceDE w:val="0"/>
              <w:autoSpaceDN w:val="0"/>
              <w:adjustRightInd w:val="0"/>
              <w:spacing w:line="560" w:lineRule="exact"/>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成立时间</w:t>
            </w:r>
          </w:p>
        </w:tc>
        <w:tc>
          <w:tcPr>
            <w:tcW w:w="2337" w:type="dxa"/>
            <w:gridSpan w:val="2"/>
            <w:vAlign w:val="center"/>
          </w:tcPr>
          <w:p>
            <w:pPr>
              <w:autoSpaceDE w:val="0"/>
              <w:autoSpaceDN w:val="0"/>
              <w:adjustRightInd w:val="0"/>
              <w:spacing w:line="560" w:lineRule="exact"/>
              <w:jc w:val="center"/>
              <w:rPr>
                <w:rFonts w:ascii="宋体" w:hAnsi="宋体" w:cs="宋体"/>
                <w:kern w:val="0"/>
                <w:sz w:val="24"/>
                <w:szCs w:val="24"/>
              </w:rPr>
            </w:pPr>
          </w:p>
        </w:tc>
        <w:tc>
          <w:tcPr>
            <w:tcW w:w="5015" w:type="dxa"/>
            <w:gridSpan w:val="5"/>
            <w:vAlign w:val="center"/>
          </w:tcPr>
          <w:p>
            <w:pPr>
              <w:autoSpaceDE w:val="0"/>
              <w:autoSpaceDN w:val="0"/>
              <w:adjustRightInd w:val="0"/>
              <w:spacing w:line="560" w:lineRule="exact"/>
              <w:ind w:firstLine="1680" w:firstLineChars="700"/>
              <w:rPr>
                <w:rFonts w:ascii="宋体" w:hAnsi="宋体" w:cs="宋体"/>
                <w:kern w:val="0"/>
                <w:sz w:val="24"/>
                <w:szCs w:val="24"/>
              </w:rPr>
            </w:pPr>
            <w:r>
              <w:rPr>
                <w:rFonts w:hint="eastAsia" w:ascii="宋体" w:hAnsi="宋体" w:cs="宋体"/>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企业资质等级</w:t>
            </w:r>
          </w:p>
        </w:tc>
        <w:tc>
          <w:tcPr>
            <w:tcW w:w="2337" w:type="dxa"/>
            <w:gridSpan w:val="2"/>
            <w:vAlign w:val="center"/>
          </w:tcPr>
          <w:p>
            <w:pPr>
              <w:autoSpaceDE w:val="0"/>
              <w:autoSpaceDN w:val="0"/>
              <w:adjustRightInd w:val="0"/>
              <w:spacing w:line="560" w:lineRule="exact"/>
              <w:jc w:val="center"/>
              <w:rPr>
                <w:rFonts w:ascii="宋体" w:hAnsi="宋体" w:cs="宋体"/>
                <w:kern w:val="0"/>
                <w:sz w:val="24"/>
                <w:szCs w:val="24"/>
              </w:rPr>
            </w:pPr>
          </w:p>
        </w:tc>
        <w:tc>
          <w:tcPr>
            <w:tcW w:w="1233" w:type="dxa"/>
            <w:vMerge w:val="restart"/>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其中</w:t>
            </w:r>
          </w:p>
        </w:tc>
        <w:tc>
          <w:tcPr>
            <w:tcW w:w="1730" w:type="dxa"/>
            <w:gridSpan w:val="2"/>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项目经理</w:t>
            </w:r>
          </w:p>
        </w:tc>
        <w:tc>
          <w:tcPr>
            <w:tcW w:w="2052" w:type="dxa"/>
            <w:gridSpan w:val="2"/>
            <w:vAlign w:val="center"/>
          </w:tcPr>
          <w:p>
            <w:pPr>
              <w:autoSpaceDE w:val="0"/>
              <w:autoSpaceDN w:val="0"/>
              <w:adjustRightInd w:val="0"/>
              <w:spacing w:line="560" w:lineRule="exact"/>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营业执照（法人证书）号</w:t>
            </w:r>
          </w:p>
        </w:tc>
        <w:tc>
          <w:tcPr>
            <w:tcW w:w="2337" w:type="dxa"/>
            <w:gridSpan w:val="2"/>
            <w:vAlign w:val="center"/>
          </w:tcPr>
          <w:p>
            <w:pPr>
              <w:autoSpaceDE w:val="0"/>
              <w:autoSpaceDN w:val="0"/>
              <w:adjustRightInd w:val="0"/>
              <w:spacing w:line="560" w:lineRule="exact"/>
              <w:jc w:val="center"/>
              <w:rPr>
                <w:rFonts w:ascii="宋体" w:hAnsi="宋体" w:cs="宋体"/>
                <w:kern w:val="0"/>
                <w:sz w:val="24"/>
                <w:szCs w:val="24"/>
              </w:rPr>
            </w:pPr>
          </w:p>
        </w:tc>
        <w:tc>
          <w:tcPr>
            <w:tcW w:w="1233" w:type="dxa"/>
            <w:vMerge w:val="continue"/>
            <w:vAlign w:val="center"/>
          </w:tcPr>
          <w:p>
            <w:pPr>
              <w:autoSpaceDE w:val="0"/>
              <w:autoSpaceDN w:val="0"/>
              <w:adjustRightInd w:val="0"/>
              <w:spacing w:line="560" w:lineRule="exact"/>
              <w:jc w:val="center"/>
              <w:rPr>
                <w:rFonts w:ascii="宋体" w:hAnsi="宋体" w:cs="宋体"/>
                <w:kern w:val="0"/>
                <w:sz w:val="24"/>
                <w:szCs w:val="24"/>
              </w:rPr>
            </w:pPr>
          </w:p>
        </w:tc>
        <w:tc>
          <w:tcPr>
            <w:tcW w:w="1730" w:type="dxa"/>
            <w:gridSpan w:val="2"/>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高级职称人员</w:t>
            </w:r>
          </w:p>
        </w:tc>
        <w:tc>
          <w:tcPr>
            <w:tcW w:w="2052" w:type="dxa"/>
            <w:gridSpan w:val="2"/>
            <w:vAlign w:val="center"/>
          </w:tcPr>
          <w:p>
            <w:pPr>
              <w:autoSpaceDE w:val="0"/>
              <w:autoSpaceDN w:val="0"/>
              <w:adjustRightInd w:val="0"/>
              <w:spacing w:line="560" w:lineRule="exact"/>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注册资金</w:t>
            </w:r>
          </w:p>
        </w:tc>
        <w:tc>
          <w:tcPr>
            <w:tcW w:w="2337" w:type="dxa"/>
            <w:gridSpan w:val="2"/>
            <w:vAlign w:val="center"/>
          </w:tcPr>
          <w:p>
            <w:pPr>
              <w:autoSpaceDE w:val="0"/>
              <w:autoSpaceDN w:val="0"/>
              <w:adjustRightInd w:val="0"/>
              <w:spacing w:line="560" w:lineRule="exact"/>
              <w:jc w:val="center"/>
              <w:rPr>
                <w:rFonts w:ascii="宋体" w:hAnsi="宋体" w:cs="宋体"/>
                <w:kern w:val="0"/>
                <w:sz w:val="24"/>
                <w:szCs w:val="24"/>
              </w:rPr>
            </w:pPr>
          </w:p>
        </w:tc>
        <w:tc>
          <w:tcPr>
            <w:tcW w:w="1233" w:type="dxa"/>
            <w:vMerge w:val="continue"/>
            <w:vAlign w:val="center"/>
          </w:tcPr>
          <w:p>
            <w:pPr>
              <w:autoSpaceDE w:val="0"/>
              <w:autoSpaceDN w:val="0"/>
              <w:adjustRightInd w:val="0"/>
              <w:spacing w:line="560" w:lineRule="exact"/>
              <w:jc w:val="center"/>
              <w:rPr>
                <w:rFonts w:ascii="宋体" w:hAnsi="宋体" w:cs="宋体"/>
                <w:kern w:val="0"/>
                <w:sz w:val="24"/>
                <w:szCs w:val="24"/>
              </w:rPr>
            </w:pPr>
          </w:p>
        </w:tc>
        <w:tc>
          <w:tcPr>
            <w:tcW w:w="1730" w:type="dxa"/>
            <w:gridSpan w:val="2"/>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中级职称人员</w:t>
            </w:r>
          </w:p>
        </w:tc>
        <w:tc>
          <w:tcPr>
            <w:tcW w:w="2052" w:type="dxa"/>
            <w:gridSpan w:val="2"/>
            <w:vAlign w:val="center"/>
          </w:tcPr>
          <w:p>
            <w:pPr>
              <w:autoSpaceDE w:val="0"/>
              <w:autoSpaceDN w:val="0"/>
              <w:adjustRightInd w:val="0"/>
              <w:spacing w:line="560" w:lineRule="exact"/>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开户银行</w:t>
            </w:r>
          </w:p>
        </w:tc>
        <w:tc>
          <w:tcPr>
            <w:tcW w:w="2337" w:type="dxa"/>
            <w:gridSpan w:val="2"/>
            <w:vAlign w:val="center"/>
          </w:tcPr>
          <w:p>
            <w:pPr>
              <w:autoSpaceDE w:val="0"/>
              <w:autoSpaceDN w:val="0"/>
              <w:adjustRightInd w:val="0"/>
              <w:spacing w:line="560" w:lineRule="exact"/>
              <w:jc w:val="center"/>
              <w:rPr>
                <w:rFonts w:ascii="宋体" w:hAnsi="宋体" w:cs="宋体"/>
                <w:kern w:val="0"/>
                <w:sz w:val="24"/>
                <w:szCs w:val="24"/>
              </w:rPr>
            </w:pPr>
          </w:p>
        </w:tc>
        <w:tc>
          <w:tcPr>
            <w:tcW w:w="1233" w:type="dxa"/>
            <w:vMerge w:val="continue"/>
            <w:vAlign w:val="center"/>
          </w:tcPr>
          <w:p>
            <w:pPr>
              <w:autoSpaceDE w:val="0"/>
              <w:autoSpaceDN w:val="0"/>
              <w:adjustRightInd w:val="0"/>
              <w:spacing w:line="560" w:lineRule="exact"/>
              <w:jc w:val="center"/>
              <w:rPr>
                <w:rFonts w:ascii="宋体" w:hAnsi="宋体" w:cs="宋体"/>
                <w:kern w:val="0"/>
                <w:sz w:val="24"/>
                <w:szCs w:val="24"/>
              </w:rPr>
            </w:pPr>
          </w:p>
        </w:tc>
        <w:tc>
          <w:tcPr>
            <w:tcW w:w="1730" w:type="dxa"/>
            <w:gridSpan w:val="2"/>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初级职称人员</w:t>
            </w:r>
          </w:p>
        </w:tc>
        <w:tc>
          <w:tcPr>
            <w:tcW w:w="2052" w:type="dxa"/>
            <w:gridSpan w:val="2"/>
            <w:vAlign w:val="center"/>
          </w:tcPr>
          <w:p>
            <w:pPr>
              <w:autoSpaceDE w:val="0"/>
              <w:autoSpaceDN w:val="0"/>
              <w:adjustRightInd w:val="0"/>
              <w:spacing w:line="560" w:lineRule="exact"/>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账号</w:t>
            </w:r>
          </w:p>
        </w:tc>
        <w:tc>
          <w:tcPr>
            <w:tcW w:w="2337" w:type="dxa"/>
            <w:gridSpan w:val="2"/>
            <w:vAlign w:val="center"/>
          </w:tcPr>
          <w:p>
            <w:pPr>
              <w:autoSpaceDE w:val="0"/>
              <w:autoSpaceDN w:val="0"/>
              <w:adjustRightInd w:val="0"/>
              <w:spacing w:line="560" w:lineRule="exact"/>
              <w:jc w:val="center"/>
              <w:rPr>
                <w:rFonts w:ascii="宋体" w:hAnsi="宋体" w:cs="宋体"/>
                <w:kern w:val="0"/>
                <w:sz w:val="24"/>
                <w:szCs w:val="24"/>
              </w:rPr>
            </w:pPr>
          </w:p>
        </w:tc>
        <w:tc>
          <w:tcPr>
            <w:tcW w:w="1233" w:type="dxa"/>
            <w:vMerge w:val="continue"/>
            <w:vAlign w:val="center"/>
          </w:tcPr>
          <w:p>
            <w:pPr>
              <w:autoSpaceDE w:val="0"/>
              <w:autoSpaceDN w:val="0"/>
              <w:adjustRightInd w:val="0"/>
              <w:spacing w:line="560" w:lineRule="exact"/>
              <w:jc w:val="center"/>
              <w:rPr>
                <w:rFonts w:ascii="宋体" w:hAnsi="宋体" w:cs="宋体"/>
                <w:kern w:val="0"/>
                <w:sz w:val="24"/>
                <w:szCs w:val="24"/>
              </w:rPr>
            </w:pPr>
          </w:p>
        </w:tc>
        <w:tc>
          <w:tcPr>
            <w:tcW w:w="1730" w:type="dxa"/>
            <w:gridSpan w:val="2"/>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技工</w:t>
            </w:r>
          </w:p>
        </w:tc>
        <w:tc>
          <w:tcPr>
            <w:tcW w:w="2052" w:type="dxa"/>
            <w:gridSpan w:val="2"/>
            <w:vAlign w:val="center"/>
          </w:tcPr>
          <w:p>
            <w:pPr>
              <w:autoSpaceDE w:val="0"/>
              <w:autoSpaceDN w:val="0"/>
              <w:adjustRightInd w:val="0"/>
              <w:spacing w:line="560" w:lineRule="exact"/>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688" w:type="dxa"/>
            <w:vAlign w:val="center"/>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经营范围</w:t>
            </w:r>
          </w:p>
        </w:tc>
        <w:tc>
          <w:tcPr>
            <w:tcW w:w="7352" w:type="dxa"/>
            <w:gridSpan w:val="7"/>
            <w:vAlign w:val="center"/>
          </w:tcPr>
          <w:p>
            <w:pPr>
              <w:autoSpaceDE w:val="0"/>
              <w:autoSpaceDN w:val="0"/>
              <w:adjustRightInd w:val="0"/>
              <w:spacing w:line="560" w:lineRule="exact"/>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688" w:type="dxa"/>
            <w:vAlign w:val="top"/>
          </w:tcPr>
          <w:p>
            <w:pPr>
              <w:autoSpaceDE w:val="0"/>
              <w:autoSpaceDN w:val="0"/>
              <w:adjustRightInd w:val="0"/>
              <w:spacing w:line="560" w:lineRule="exact"/>
              <w:jc w:val="center"/>
              <w:rPr>
                <w:rFonts w:ascii="宋体" w:hAnsi="宋体" w:cs="宋体"/>
                <w:kern w:val="0"/>
                <w:sz w:val="24"/>
                <w:szCs w:val="24"/>
              </w:rPr>
            </w:pPr>
            <w:r>
              <w:rPr>
                <w:rFonts w:hint="eastAsia" w:ascii="宋体" w:hAnsi="宋体" w:cs="宋体"/>
                <w:kern w:val="0"/>
                <w:sz w:val="24"/>
                <w:szCs w:val="24"/>
              </w:rPr>
              <w:t>备注</w:t>
            </w:r>
          </w:p>
        </w:tc>
        <w:tc>
          <w:tcPr>
            <w:tcW w:w="7352" w:type="dxa"/>
            <w:gridSpan w:val="7"/>
            <w:vAlign w:val="top"/>
          </w:tcPr>
          <w:p>
            <w:pPr>
              <w:autoSpaceDE w:val="0"/>
              <w:autoSpaceDN w:val="0"/>
              <w:adjustRightInd w:val="0"/>
              <w:spacing w:line="560" w:lineRule="exact"/>
              <w:jc w:val="left"/>
              <w:rPr>
                <w:rFonts w:ascii="宋体" w:hAnsi="宋体" w:cs="宋体"/>
                <w:kern w:val="0"/>
                <w:sz w:val="24"/>
                <w:szCs w:val="24"/>
              </w:rPr>
            </w:pPr>
          </w:p>
        </w:tc>
      </w:tr>
    </w:tbl>
    <w:p>
      <w:pPr>
        <w:spacing w:line="560" w:lineRule="exact"/>
        <w:jc w:val="left"/>
        <w:rPr>
          <w:rFonts w:ascii="宋体" w:hAnsi="宋体" w:cs="宋体"/>
          <w:b/>
          <w:bCs/>
          <w:sz w:val="24"/>
          <w:szCs w:val="24"/>
        </w:rPr>
      </w:pPr>
      <w:r>
        <w:rPr>
          <w:rFonts w:hint="eastAsia" w:ascii="宋体" w:hAnsi="宋体" w:cs="宋体"/>
          <w:b/>
          <w:bCs/>
          <w:sz w:val="24"/>
          <w:szCs w:val="24"/>
        </w:rPr>
        <w:t>投标人名称（公章）：</w:t>
      </w:r>
      <w:r>
        <w:rPr>
          <w:rFonts w:hint="eastAsia" w:ascii="宋体" w:hAnsi="宋体" w:cs="宋体"/>
          <w:b/>
          <w:bCs/>
          <w:sz w:val="24"/>
          <w:szCs w:val="24"/>
          <w:u w:val="single"/>
        </w:rPr>
        <w:t xml:space="preserve">                                 </w:t>
      </w:r>
    </w:p>
    <w:p>
      <w:pPr>
        <w:ind w:left="852" w:leftChars="176" w:hanging="482" w:hangingChars="200"/>
        <w:rPr>
          <w:rFonts w:hint="eastAsia" w:ascii="宋体" w:hAnsi="宋体" w:cs="宋体"/>
          <w:sz w:val="24"/>
          <w:szCs w:val="24"/>
        </w:rPr>
      </w:pPr>
      <w:r>
        <w:rPr>
          <w:rFonts w:hint="eastAsia" w:ascii="宋体" w:hAnsi="宋体" w:cs="宋体"/>
          <w:b/>
          <w:bCs/>
          <w:sz w:val="24"/>
          <w:szCs w:val="24"/>
        </w:rPr>
        <w:t>日  期：</w:t>
      </w:r>
      <w:r>
        <w:rPr>
          <w:rFonts w:hint="eastAsia" w:ascii="宋体" w:hAnsi="宋体" w:cs="宋体"/>
          <w:b/>
          <w:bCs/>
          <w:sz w:val="24"/>
          <w:szCs w:val="24"/>
          <w:u w:val="single"/>
        </w:rPr>
        <w:t xml:space="preserve">            </w:t>
      </w:r>
      <w:r>
        <w:rPr>
          <w:rFonts w:hint="eastAsia" w:ascii="宋体" w:hAnsi="宋体" w:cs="宋体"/>
          <w:sz w:val="24"/>
          <w:szCs w:val="24"/>
        </w:rPr>
        <w:t xml:space="preserve"> </w:t>
      </w:r>
    </w:p>
    <w:p>
      <w:pPr>
        <w:ind w:left="852" w:leftChars="176" w:hanging="482" w:hangingChars="200"/>
        <w:rPr>
          <w:rFonts w:hint="eastAsia" w:ascii="宋体" w:hAnsi="宋体" w:cs="宋体"/>
          <w:b/>
          <w:bCs/>
          <w:sz w:val="24"/>
          <w:szCs w:val="24"/>
        </w:rPr>
      </w:pPr>
      <w:r>
        <w:rPr>
          <w:rFonts w:hint="eastAsia" w:ascii="宋体" w:hAnsi="宋体" w:cs="宋体"/>
          <w:b/>
          <w:bCs/>
          <w:sz w:val="24"/>
          <w:szCs w:val="24"/>
        </w:rPr>
        <w:t>注：应附投标人一般纳税人资格证明、营业执照副本及其年检合格的证明等材料的复印件。</w:t>
      </w:r>
    </w:p>
    <w:p>
      <w:pPr>
        <w:ind w:left="850" w:leftChars="176" w:hanging="480" w:hangingChars="200"/>
        <w:jc w:val="center"/>
        <w:rPr>
          <w:rFonts w:ascii="宋体" w:hAnsi="宋体" w:cs="宋体"/>
          <w:sz w:val="24"/>
          <w:szCs w:val="24"/>
        </w:rPr>
      </w:pPr>
      <w:r>
        <w:rPr>
          <w:rFonts w:hint="eastAsia" w:ascii="宋体" w:hAnsi="宋体" w:cs="宋体"/>
          <w:sz w:val="24"/>
          <w:szCs w:val="24"/>
        </w:rPr>
        <w:t>主要人员简历表</w:t>
      </w:r>
    </w:p>
    <w:p>
      <w:pPr>
        <w:spacing w:line="360" w:lineRule="auto"/>
        <w:ind w:firstLine="480" w:firstLineChars="200"/>
        <w:rPr>
          <w:rFonts w:ascii="宋体" w:hAnsi="宋体" w:cs="宋体"/>
          <w:sz w:val="24"/>
          <w:szCs w:val="24"/>
        </w:rPr>
      </w:pPr>
      <w:r>
        <w:rPr>
          <w:rFonts w:hint="eastAsia" w:ascii="宋体" w:hAnsi="宋体" w:cs="宋体"/>
          <w:sz w:val="24"/>
          <w:szCs w:val="24"/>
        </w:rPr>
        <w:t>对拟投入本项目的主要人员均应按照下表格式编制和提交主要人员简历表。</w:t>
      </w:r>
    </w:p>
    <w:p>
      <w:pPr>
        <w:spacing w:line="360" w:lineRule="auto"/>
        <w:ind w:firstLine="480" w:firstLineChars="200"/>
        <w:jc w:val="center"/>
        <w:rPr>
          <w:rFonts w:ascii="宋体" w:hAnsi="宋体" w:cs="宋体"/>
          <w:sz w:val="24"/>
          <w:szCs w:val="24"/>
        </w:rPr>
      </w:pPr>
      <w:r>
        <w:rPr>
          <w:rFonts w:hint="eastAsia" w:ascii="宋体" w:hAnsi="宋体" w:cs="宋体"/>
          <w:sz w:val="24"/>
          <w:szCs w:val="24"/>
        </w:rPr>
        <w:t>主要人员简历表</w:t>
      </w:r>
    </w:p>
    <w:tbl>
      <w:tblPr>
        <w:tblStyle w:val="33"/>
        <w:tblW w:w="95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3"/>
        <w:gridCol w:w="891"/>
        <w:gridCol w:w="2283"/>
        <w:gridCol w:w="2310"/>
        <w:gridCol w:w="1380"/>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314" w:type="dxa"/>
            <w:gridSpan w:val="2"/>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r>
              <w:rPr>
                <w:rFonts w:hint="eastAsia" w:ascii="宋体" w:hAnsi="宋体" w:cs="宋体"/>
                <w:kern w:val="0"/>
                <w:sz w:val="24"/>
                <w:szCs w:val="24"/>
              </w:rPr>
              <w:t>姓  名</w:t>
            </w:r>
          </w:p>
        </w:tc>
        <w:tc>
          <w:tcPr>
            <w:tcW w:w="2283" w:type="dxa"/>
            <w:tcBorders>
              <w:top w:val="single" w:color="auto" w:sz="4" w:space="0"/>
              <w:left w:val="nil"/>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p>
        </w:tc>
        <w:tc>
          <w:tcPr>
            <w:tcW w:w="2310" w:type="dxa"/>
            <w:tcBorders>
              <w:top w:val="single" w:color="auto" w:sz="4" w:space="0"/>
              <w:left w:val="nil"/>
              <w:bottom w:val="single" w:color="auto" w:sz="4" w:space="0"/>
              <w:right w:val="single" w:color="auto" w:sz="4" w:space="0"/>
            </w:tcBorders>
            <w:vAlign w:val="center"/>
          </w:tcPr>
          <w:p>
            <w:pPr>
              <w:spacing w:before="0" w:after="0" w:line="240" w:lineRule="auto"/>
              <w:rPr>
                <w:rFonts w:ascii="宋体" w:hAnsi="宋体" w:cs="宋体"/>
                <w:b/>
                <w:bCs/>
                <w:kern w:val="0"/>
                <w:sz w:val="24"/>
                <w:szCs w:val="24"/>
              </w:rPr>
            </w:pPr>
            <w:r>
              <w:rPr>
                <w:rFonts w:hint="eastAsia" w:ascii="宋体" w:hAnsi="宋体" w:cs="宋体"/>
                <w:kern w:val="0"/>
                <w:sz w:val="24"/>
                <w:szCs w:val="24"/>
              </w:rPr>
              <w:t>本项目中任职</w:t>
            </w:r>
          </w:p>
        </w:tc>
        <w:tc>
          <w:tcPr>
            <w:tcW w:w="2607" w:type="dxa"/>
            <w:gridSpan w:val="2"/>
            <w:tcBorders>
              <w:top w:val="single" w:color="auto" w:sz="4" w:space="0"/>
              <w:left w:val="nil"/>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314" w:type="dxa"/>
            <w:gridSpan w:val="2"/>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ascii="宋体" w:hAnsi="宋体" w:cs="宋体"/>
                <w:kern w:val="0"/>
                <w:sz w:val="24"/>
                <w:szCs w:val="24"/>
              </w:rPr>
            </w:pPr>
            <w:r>
              <w:rPr>
                <w:rFonts w:hint="eastAsia" w:ascii="宋体" w:hAnsi="宋体" w:cs="宋体"/>
                <w:kern w:val="0"/>
                <w:sz w:val="24"/>
                <w:szCs w:val="24"/>
              </w:rPr>
              <w:t>性  别</w:t>
            </w:r>
          </w:p>
        </w:tc>
        <w:tc>
          <w:tcPr>
            <w:tcW w:w="2283" w:type="dxa"/>
            <w:tcBorders>
              <w:top w:val="single" w:color="auto" w:sz="4" w:space="0"/>
              <w:left w:val="nil"/>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p>
        </w:tc>
        <w:tc>
          <w:tcPr>
            <w:tcW w:w="2310" w:type="dxa"/>
            <w:tcBorders>
              <w:top w:val="single" w:color="auto" w:sz="4" w:space="0"/>
              <w:left w:val="nil"/>
              <w:bottom w:val="single" w:color="auto" w:sz="4" w:space="0"/>
              <w:right w:val="single" w:color="auto" w:sz="4" w:space="0"/>
            </w:tcBorders>
            <w:vAlign w:val="center"/>
          </w:tcPr>
          <w:p>
            <w:pPr>
              <w:spacing w:before="0" w:after="0" w:line="240" w:lineRule="auto"/>
              <w:rPr>
                <w:rFonts w:ascii="宋体" w:hAnsi="宋体" w:cs="宋体"/>
                <w:kern w:val="0"/>
                <w:sz w:val="24"/>
                <w:szCs w:val="24"/>
              </w:rPr>
            </w:pPr>
            <w:r>
              <w:rPr>
                <w:rFonts w:hint="eastAsia" w:ascii="宋体" w:hAnsi="宋体" w:cs="宋体"/>
                <w:kern w:val="0"/>
                <w:sz w:val="24"/>
                <w:szCs w:val="24"/>
              </w:rPr>
              <w:t>年  龄</w:t>
            </w:r>
          </w:p>
        </w:tc>
        <w:tc>
          <w:tcPr>
            <w:tcW w:w="2607" w:type="dxa"/>
            <w:gridSpan w:val="2"/>
            <w:tcBorders>
              <w:top w:val="single" w:color="auto" w:sz="4" w:space="0"/>
              <w:left w:val="nil"/>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314" w:type="dxa"/>
            <w:gridSpan w:val="2"/>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r>
              <w:rPr>
                <w:rFonts w:hint="eastAsia" w:ascii="宋体" w:hAnsi="宋体" w:cs="宋体"/>
                <w:kern w:val="0"/>
                <w:sz w:val="24"/>
                <w:szCs w:val="24"/>
              </w:rPr>
              <w:t>职务、职称</w:t>
            </w:r>
          </w:p>
        </w:tc>
        <w:tc>
          <w:tcPr>
            <w:tcW w:w="2283" w:type="dxa"/>
            <w:tcBorders>
              <w:top w:val="single" w:color="auto" w:sz="4" w:space="0"/>
              <w:left w:val="nil"/>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p>
        </w:tc>
        <w:tc>
          <w:tcPr>
            <w:tcW w:w="2310" w:type="dxa"/>
            <w:tcBorders>
              <w:top w:val="single" w:color="auto" w:sz="4" w:space="0"/>
              <w:left w:val="nil"/>
              <w:bottom w:val="single" w:color="auto" w:sz="4" w:space="0"/>
              <w:right w:val="single" w:color="auto" w:sz="4" w:space="0"/>
            </w:tcBorders>
            <w:vAlign w:val="center"/>
          </w:tcPr>
          <w:p>
            <w:pPr>
              <w:spacing w:before="0" w:after="0" w:line="240" w:lineRule="auto"/>
              <w:rPr>
                <w:rFonts w:ascii="宋体" w:hAnsi="宋体" w:cs="宋体"/>
                <w:b/>
                <w:bCs/>
                <w:kern w:val="0"/>
                <w:sz w:val="24"/>
                <w:szCs w:val="24"/>
              </w:rPr>
            </w:pPr>
            <w:r>
              <w:rPr>
                <w:rFonts w:hint="eastAsia" w:ascii="宋体" w:hAnsi="宋体" w:cs="宋体"/>
                <w:kern w:val="0"/>
                <w:sz w:val="24"/>
                <w:szCs w:val="24"/>
              </w:rPr>
              <w:t>执业或职业资格证（名称及证号）</w:t>
            </w:r>
          </w:p>
        </w:tc>
        <w:tc>
          <w:tcPr>
            <w:tcW w:w="2607" w:type="dxa"/>
            <w:gridSpan w:val="2"/>
            <w:tcBorders>
              <w:top w:val="single" w:color="auto" w:sz="4" w:space="0"/>
              <w:left w:val="nil"/>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314" w:type="dxa"/>
            <w:gridSpan w:val="2"/>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ascii="宋体" w:hAnsi="宋体" w:cs="宋体"/>
                <w:kern w:val="0"/>
                <w:sz w:val="24"/>
                <w:szCs w:val="24"/>
              </w:rPr>
            </w:pPr>
            <w:r>
              <w:rPr>
                <w:rFonts w:hint="eastAsia" w:ascii="宋体" w:hAnsi="宋体" w:cs="宋体"/>
                <w:kern w:val="0"/>
                <w:sz w:val="24"/>
                <w:szCs w:val="24"/>
              </w:rPr>
              <w:t>毕业院校及所学专业</w:t>
            </w:r>
          </w:p>
        </w:tc>
        <w:tc>
          <w:tcPr>
            <w:tcW w:w="2283" w:type="dxa"/>
            <w:tcBorders>
              <w:top w:val="single" w:color="auto" w:sz="4" w:space="0"/>
              <w:left w:val="nil"/>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p>
        </w:tc>
        <w:tc>
          <w:tcPr>
            <w:tcW w:w="2310" w:type="dxa"/>
            <w:tcBorders>
              <w:top w:val="single" w:color="auto" w:sz="4" w:space="0"/>
              <w:left w:val="nil"/>
              <w:bottom w:val="single" w:color="auto" w:sz="4" w:space="0"/>
              <w:right w:val="single" w:color="auto" w:sz="4" w:space="0"/>
            </w:tcBorders>
            <w:vAlign w:val="center"/>
          </w:tcPr>
          <w:p>
            <w:pPr>
              <w:spacing w:before="0" w:after="0" w:line="240" w:lineRule="auto"/>
              <w:rPr>
                <w:rFonts w:ascii="宋体" w:hAnsi="宋体" w:cs="宋体"/>
                <w:kern w:val="0"/>
                <w:sz w:val="24"/>
                <w:szCs w:val="24"/>
              </w:rPr>
            </w:pPr>
            <w:r>
              <w:rPr>
                <w:rFonts w:hint="eastAsia" w:ascii="宋体" w:hAnsi="宋体" w:cs="宋体"/>
                <w:kern w:val="0"/>
                <w:sz w:val="24"/>
                <w:szCs w:val="24"/>
              </w:rPr>
              <w:t>从业年限</w:t>
            </w:r>
          </w:p>
        </w:tc>
        <w:tc>
          <w:tcPr>
            <w:tcW w:w="2607" w:type="dxa"/>
            <w:gridSpan w:val="2"/>
            <w:tcBorders>
              <w:top w:val="single" w:color="auto" w:sz="4" w:space="0"/>
              <w:left w:val="nil"/>
              <w:bottom w:val="single" w:color="auto" w:sz="4" w:space="0"/>
              <w:right w:val="single" w:color="auto" w:sz="4" w:space="0"/>
            </w:tcBorders>
            <w:vAlign w:val="center"/>
          </w:tcPr>
          <w:p>
            <w:pPr>
              <w:spacing w:before="0" w:after="0" w:line="240" w:lineRule="auto"/>
              <w:jc w:val="center"/>
              <w:rPr>
                <w:rFonts w:ascii="宋体" w:hAnsi="宋体" w:cs="宋体"/>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514" w:type="dxa"/>
            <w:gridSpan w:val="6"/>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r>
              <w:rPr>
                <w:rFonts w:hint="eastAsia" w:ascii="宋体" w:hAnsi="宋体" w:cs="宋体"/>
                <w:sz w:val="24"/>
                <w:szCs w:val="24"/>
              </w:rPr>
              <w:t>主要工作经历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r>
              <w:rPr>
                <w:rFonts w:hint="eastAsia" w:ascii="宋体" w:hAnsi="宋体" w:cs="宋体"/>
                <w:sz w:val="24"/>
                <w:szCs w:val="24"/>
              </w:rPr>
              <w:t>时间</w:t>
            </w:r>
          </w:p>
        </w:tc>
        <w:tc>
          <w:tcPr>
            <w:tcW w:w="3174" w:type="dxa"/>
            <w:gridSpan w:val="2"/>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r>
              <w:rPr>
                <w:rFonts w:hint="eastAsia" w:ascii="宋体" w:hAnsi="宋体" w:cs="宋体"/>
                <w:sz w:val="24"/>
                <w:szCs w:val="24"/>
              </w:rPr>
              <w:t>参加过的项目（含正在实施和已完成项目）</w:t>
            </w:r>
          </w:p>
        </w:tc>
        <w:tc>
          <w:tcPr>
            <w:tcW w:w="231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r>
              <w:rPr>
                <w:rFonts w:hint="eastAsia" w:ascii="宋体" w:hAnsi="宋体" w:cs="宋体"/>
                <w:sz w:val="24"/>
                <w:szCs w:val="24"/>
              </w:rPr>
              <w:t>担任职务</w:t>
            </w:r>
          </w:p>
        </w:tc>
        <w:tc>
          <w:tcPr>
            <w:tcW w:w="138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r>
              <w:rPr>
                <w:rFonts w:hint="eastAsia" w:ascii="宋体" w:hAnsi="宋体" w:cs="宋体"/>
                <w:sz w:val="24"/>
                <w:szCs w:val="24"/>
              </w:rPr>
              <w:t>从事该项目的时间</w:t>
            </w:r>
          </w:p>
        </w:tc>
        <w:tc>
          <w:tcPr>
            <w:tcW w:w="1227"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r>
              <w:rPr>
                <w:rFonts w:hint="eastAsia" w:ascii="宋体" w:hAnsi="宋体" w:cs="宋体"/>
                <w:sz w:val="24"/>
                <w:szCs w:val="24"/>
              </w:rPr>
              <w:t>委托人及联系电话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3174" w:type="dxa"/>
            <w:gridSpan w:val="2"/>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231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38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227"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3174" w:type="dxa"/>
            <w:gridSpan w:val="2"/>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231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38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227"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3174" w:type="dxa"/>
            <w:gridSpan w:val="2"/>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231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38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227"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3174" w:type="dxa"/>
            <w:gridSpan w:val="2"/>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231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38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227"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3174" w:type="dxa"/>
            <w:gridSpan w:val="2"/>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231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38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227"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3174" w:type="dxa"/>
            <w:gridSpan w:val="2"/>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231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38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227"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3174" w:type="dxa"/>
            <w:gridSpan w:val="2"/>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231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38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227"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3174" w:type="dxa"/>
            <w:gridSpan w:val="2"/>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231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380"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c>
          <w:tcPr>
            <w:tcW w:w="1227" w:type="dxa"/>
            <w:tcBorders>
              <w:top w:val="single" w:color="auto" w:sz="4" w:space="0"/>
              <w:left w:val="nil"/>
              <w:bottom w:val="single" w:color="auto" w:sz="4" w:space="0"/>
              <w:right w:val="single" w:color="auto" w:sz="4" w:space="0"/>
            </w:tcBorders>
            <w:vAlign w:val="center"/>
          </w:tcPr>
          <w:p>
            <w:pPr>
              <w:pStyle w:val="79"/>
              <w:spacing w:before="0" w:after="0" w:line="240" w:lineRule="auto"/>
              <w:rPr>
                <w:rFonts w:ascii="宋体" w:hAnsi="宋体" w:cs="宋体"/>
                <w:sz w:val="24"/>
                <w:szCs w:val="24"/>
              </w:rPr>
            </w:pPr>
          </w:p>
        </w:tc>
      </w:tr>
    </w:tbl>
    <w:p>
      <w:pPr>
        <w:jc w:val="left"/>
        <w:rPr>
          <w:rFonts w:ascii="宋体" w:hAnsi="宋体" w:cs="宋体"/>
          <w:kern w:val="0"/>
          <w:sz w:val="24"/>
          <w:szCs w:val="24"/>
        </w:rPr>
      </w:pPr>
      <w:r>
        <w:rPr>
          <w:rFonts w:hint="eastAsia" w:ascii="宋体" w:hAnsi="宋体" w:cs="宋体"/>
          <w:kern w:val="0"/>
          <w:sz w:val="24"/>
          <w:szCs w:val="24"/>
        </w:rPr>
        <w:t>注：①上表的“参加过的项目（含正在实施和已完成项目）”栏内，应填报项目的名称、所在地、项目特征、合同总价等内容。</w:t>
      </w:r>
    </w:p>
    <w:p>
      <w:pPr>
        <w:ind w:firstLine="480" w:firstLineChars="200"/>
        <w:jc w:val="left"/>
        <w:rPr>
          <w:rFonts w:ascii="宋体" w:hAnsi="宋体" w:cs="宋体"/>
          <w:b/>
          <w:sz w:val="24"/>
          <w:szCs w:val="24"/>
        </w:rPr>
      </w:pPr>
      <w:r>
        <w:rPr>
          <w:rFonts w:hint="eastAsia" w:ascii="宋体" w:hAnsi="宋体" w:cs="宋体"/>
          <w:kern w:val="0"/>
          <w:sz w:val="24"/>
          <w:szCs w:val="24"/>
        </w:rPr>
        <w:t>②对于每个主要人员的简历表，均应附身份证、学历证的复印件；对于项目经理需提供委托人出具的项目经历证明资料。</w:t>
      </w:r>
    </w:p>
    <w:p>
      <w:pPr>
        <w:spacing w:before="0" w:after="0" w:line="460" w:lineRule="auto"/>
        <w:ind w:firstLine="4320" w:firstLineChars="180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（单位名称）</w:t>
      </w:r>
      <w:r>
        <w:rPr>
          <w:rFonts w:hint="eastAsia" w:ascii="宋体" w:hAnsi="宋体" w:cs="宋体"/>
          <w:sz w:val="24"/>
          <w:szCs w:val="24"/>
        </w:rPr>
        <w:t>（盖单位公章）</w:t>
      </w:r>
    </w:p>
    <w:p>
      <w:pPr>
        <w:spacing w:before="0" w:after="0" w:line="460" w:lineRule="auto"/>
        <w:ind w:firstLine="4320" w:firstLineChars="1800"/>
        <w:rPr>
          <w:rFonts w:ascii="宋体" w:hAnsi="宋体" w:cs="宋体"/>
          <w:sz w:val="24"/>
          <w:szCs w:val="24"/>
        </w:rPr>
      </w:pPr>
      <w:r>
        <w:rPr>
          <w:rFonts w:hint="eastAsia" w:ascii="宋体" w:hAnsi="宋体" w:cs="宋体"/>
          <w:sz w:val="24"/>
          <w:szCs w:val="24"/>
        </w:rPr>
        <w:t>法定代表人（或委托代理人）：（签名）</w:t>
      </w:r>
    </w:p>
    <w:p>
      <w:pPr>
        <w:tabs>
          <w:tab w:val="left" w:pos="1204"/>
          <w:tab w:val="left" w:pos="7800"/>
        </w:tabs>
        <w:spacing w:before="0" w:after="0" w:line="460" w:lineRule="auto"/>
        <w:rPr>
          <w:rFonts w:ascii="宋体" w:hAnsi="宋体" w:cs="宋体"/>
          <w:sz w:val="24"/>
          <w:szCs w:val="24"/>
        </w:rPr>
      </w:pPr>
      <w:r>
        <w:rPr>
          <w:rFonts w:hint="eastAsia" w:ascii="宋体" w:hAnsi="宋体" w:cs="宋体"/>
          <w:sz w:val="24"/>
          <w:szCs w:val="24"/>
        </w:rPr>
        <w:t xml:space="preserve">                                    日   期：     年   月    日</w:t>
      </w:r>
    </w:p>
    <w:p>
      <w:pPr>
        <w:spacing w:line="360" w:lineRule="auto"/>
        <w:outlineLvl w:val="2"/>
        <w:rPr>
          <w:rFonts w:ascii="宋体" w:hAnsi="宋体" w:cs="宋体"/>
          <w:b/>
          <w:bCs/>
          <w:sz w:val="24"/>
          <w:szCs w:val="24"/>
        </w:rPr>
      </w:pPr>
      <w:r>
        <w:rPr>
          <w:rFonts w:hint="eastAsia" w:ascii="宋体" w:hAnsi="宋体" w:cs="宋体"/>
          <w:b/>
          <w:bCs/>
          <w:sz w:val="24"/>
          <w:szCs w:val="24"/>
        </w:rPr>
        <w:t>4.2近年内完成的和正在实施及新承接的项目情况表</w:t>
      </w:r>
    </w:p>
    <w:p>
      <w:pPr>
        <w:spacing w:before="48"/>
        <w:jc w:val="center"/>
        <w:rPr>
          <w:rFonts w:ascii="宋体" w:hAnsi="宋体" w:cs="宋体"/>
          <w:sz w:val="24"/>
          <w:szCs w:val="24"/>
        </w:rPr>
      </w:pPr>
      <w:r>
        <w:rPr>
          <w:rFonts w:hint="eastAsia" w:ascii="宋体" w:hAnsi="宋体" w:cs="宋体"/>
          <w:sz w:val="24"/>
          <w:szCs w:val="24"/>
        </w:rPr>
        <w:t>近年内完成的和正在实施及新承接的项目一览表</w:t>
      </w:r>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92"/>
        <w:gridCol w:w="899"/>
        <w:gridCol w:w="897"/>
        <w:gridCol w:w="1062"/>
        <w:gridCol w:w="1027"/>
        <w:gridCol w:w="1027"/>
        <w:gridCol w:w="714"/>
        <w:gridCol w:w="897"/>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Align w:val="center"/>
          </w:tcPr>
          <w:p>
            <w:pPr>
              <w:pStyle w:val="79"/>
              <w:spacing w:before="0" w:after="0" w:line="240" w:lineRule="exact"/>
              <w:jc w:val="left"/>
              <w:rPr>
                <w:rFonts w:ascii="宋体" w:hAnsi="宋体" w:cs="宋体"/>
                <w:sz w:val="24"/>
                <w:szCs w:val="24"/>
              </w:rPr>
            </w:pPr>
            <w:r>
              <w:rPr>
                <w:rFonts w:hint="eastAsia" w:ascii="宋体" w:hAnsi="宋体" w:cs="宋体"/>
                <w:sz w:val="24"/>
                <w:szCs w:val="24"/>
              </w:rPr>
              <w:t>编号</w:t>
            </w:r>
          </w:p>
        </w:tc>
        <w:tc>
          <w:tcPr>
            <w:tcW w:w="1692"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项目名称</w:t>
            </w:r>
          </w:p>
        </w:tc>
        <w:tc>
          <w:tcPr>
            <w:tcW w:w="899" w:type="dxa"/>
            <w:vAlign w:val="top"/>
          </w:tcPr>
          <w:p>
            <w:pPr>
              <w:pStyle w:val="79"/>
              <w:spacing w:before="0" w:after="0" w:line="240" w:lineRule="exact"/>
              <w:rPr>
                <w:rFonts w:ascii="宋体" w:hAnsi="宋体" w:cs="宋体"/>
                <w:sz w:val="24"/>
                <w:szCs w:val="24"/>
              </w:rPr>
            </w:pPr>
            <w:r>
              <w:rPr>
                <w:rFonts w:hint="eastAsia" w:ascii="宋体" w:hAnsi="宋体" w:cs="宋体"/>
                <w:sz w:val="24"/>
                <w:szCs w:val="24"/>
              </w:rPr>
              <w:t>项目主要内容及特征</w:t>
            </w:r>
          </w:p>
        </w:tc>
        <w:tc>
          <w:tcPr>
            <w:tcW w:w="897"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委托人名称</w:t>
            </w:r>
          </w:p>
        </w:tc>
        <w:tc>
          <w:tcPr>
            <w:tcW w:w="1062"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合同总价（万元）</w:t>
            </w:r>
          </w:p>
        </w:tc>
        <w:tc>
          <w:tcPr>
            <w:tcW w:w="1027"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起始日期</w:t>
            </w:r>
          </w:p>
        </w:tc>
        <w:tc>
          <w:tcPr>
            <w:tcW w:w="1027"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结束日期</w:t>
            </w:r>
          </w:p>
        </w:tc>
        <w:tc>
          <w:tcPr>
            <w:tcW w:w="714"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项目负责人</w:t>
            </w:r>
          </w:p>
        </w:tc>
        <w:tc>
          <w:tcPr>
            <w:tcW w:w="897"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委托人名称</w:t>
            </w:r>
          </w:p>
        </w:tc>
        <w:tc>
          <w:tcPr>
            <w:tcW w:w="611"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1</w:t>
            </w:r>
          </w:p>
        </w:tc>
        <w:tc>
          <w:tcPr>
            <w:tcW w:w="1692" w:type="dxa"/>
            <w:vAlign w:val="center"/>
          </w:tcPr>
          <w:p>
            <w:pPr>
              <w:pStyle w:val="79"/>
              <w:spacing w:before="0" w:after="0" w:line="240" w:lineRule="exact"/>
              <w:jc w:val="left"/>
              <w:rPr>
                <w:rFonts w:ascii="宋体" w:hAnsi="宋体" w:cs="宋体"/>
                <w:sz w:val="24"/>
                <w:szCs w:val="24"/>
              </w:rPr>
            </w:pPr>
            <w:r>
              <w:rPr>
                <w:rFonts w:hint="eastAsia" w:ascii="宋体" w:hAnsi="宋体" w:cs="宋体"/>
                <w:sz w:val="24"/>
                <w:szCs w:val="24"/>
              </w:rPr>
              <w:t>近年内完成的项目</w:t>
            </w:r>
          </w:p>
        </w:tc>
        <w:tc>
          <w:tcPr>
            <w:tcW w:w="899" w:type="dxa"/>
            <w:vAlign w:val="top"/>
          </w:tcPr>
          <w:p>
            <w:pPr>
              <w:pStyle w:val="79"/>
              <w:spacing w:before="0" w:after="0" w:line="240" w:lineRule="exact"/>
              <w:rPr>
                <w:rFonts w:ascii="宋体" w:hAnsi="宋体" w:cs="宋体"/>
                <w:sz w:val="24"/>
                <w:szCs w:val="24"/>
              </w:rPr>
            </w:pPr>
          </w:p>
        </w:tc>
        <w:tc>
          <w:tcPr>
            <w:tcW w:w="897" w:type="dxa"/>
            <w:vAlign w:val="center"/>
          </w:tcPr>
          <w:p>
            <w:pPr>
              <w:pStyle w:val="79"/>
              <w:spacing w:before="0" w:after="0" w:line="240" w:lineRule="exact"/>
              <w:rPr>
                <w:rFonts w:ascii="宋体" w:hAnsi="宋体" w:cs="宋体"/>
                <w:sz w:val="24"/>
                <w:szCs w:val="24"/>
              </w:rPr>
            </w:pPr>
          </w:p>
        </w:tc>
        <w:tc>
          <w:tcPr>
            <w:tcW w:w="1062" w:type="dxa"/>
            <w:vAlign w:val="center"/>
          </w:tcPr>
          <w:p>
            <w:pPr>
              <w:pStyle w:val="79"/>
              <w:spacing w:before="0" w:after="0" w:line="240" w:lineRule="exact"/>
              <w:rPr>
                <w:rFonts w:ascii="宋体" w:hAnsi="宋体" w:cs="宋体"/>
                <w:sz w:val="24"/>
                <w:szCs w:val="24"/>
              </w:rPr>
            </w:pPr>
          </w:p>
        </w:tc>
        <w:tc>
          <w:tcPr>
            <w:tcW w:w="1027" w:type="dxa"/>
            <w:vAlign w:val="center"/>
          </w:tcPr>
          <w:p>
            <w:pPr>
              <w:pStyle w:val="79"/>
              <w:spacing w:before="0" w:after="0" w:line="240" w:lineRule="exact"/>
              <w:rPr>
                <w:rFonts w:ascii="宋体" w:hAnsi="宋体" w:cs="宋体"/>
                <w:sz w:val="24"/>
                <w:szCs w:val="24"/>
              </w:rPr>
            </w:pPr>
          </w:p>
        </w:tc>
        <w:tc>
          <w:tcPr>
            <w:tcW w:w="1027" w:type="dxa"/>
            <w:vAlign w:val="center"/>
          </w:tcPr>
          <w:p>
            <w:pPr>
              <w:pStyle w:val="79"/>
              <w:spacing w:before="0" w:after="0" w:line="240" w:lineRule="exact"/>
              <w:rPr>
                <w:rFonts w:ascii="宋体" w:hAnsi="宋体" w:cs="宋体"/>
                <w:sz w:val="24"/>
                <w:szCs w:val="24"/>
              </w:rPr>
            </w:pPr>
          </w:p>
        </w:tc>
        <w:tc>
          <w:tcPr>
            <w:tcW w:w="714" w:type="dxa"/>
            <w:vAlign w:val="center"/>
          </w:tcPr>
          <w:p>
            <w:pPr>
              <w:pStyle w:val="79"/>
              <w:spacing w:before="0" w:after="0" w:line="240" w:lineRule="exact"/>
              <w:rPr>
                <w:rFonts w:ascii="宋体" w:hAnsi="宋体" w:cs="宋体"/>
                <w:sz w:val="24"/>
                <w:szCs w:val="24"/>
              </w:rPr>
            </w:pPr>
          </w:p>
        </w:tc>
        <w:tc>
          <w:tcPr>
            <w:tcW w:w="897" w:type="dxa"/>
            <w:vAlign w:val="center"/>
          </w:tcPr>
          <w:p>
            <w:pPr>
              <w:pStyle w:val="79"/>
              <w:spacing w:before="0" w:after="0" w:line="240" w:lineRule="exact"/>
              <w:rPr>
                <w:rFonts w:ascii="宋体" w:hAnsi="宋体" w:cs="宋体"/>
                <w:sz w:val="24"/>
                <w:szCs w:val="24"/>
              </w:rPr>
            </w:pPr>
          </w:p>
        </w:tc>
        <w:tc>
          <w:tcPr>
            <w:tcW w:w="611" w:type="dxa"/>
            <w:vAlign w:val="center"/>
          </w:tcPr>
          <w:p>
            <w:pPr>
              <w:pStyle w:val="79"/>
              <w:spacing w:before="0" w:after="0" w:line="24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Align w:val="center"/>
          </w:tcPr>
          <w:p>
            <w:pPr>
              <w:pStyle w:val="42"/>
              <w:spacing w:before="0" w:after="0" w:line="240" w:lineRule="exact"/>
              <w:rPr>
                <w:rFonts w:ascii="宋体" w:hAnsi="宋体" w:cs="宋体"/>
                <w:sz w:val="24"/>
              </w:rPr>
            </w:pPr>
            <w:r>
              <w:rPr>
                <w:rFonts w:hint="eastAsia" w:ascii="宋体" w:hAnsi="宋体" w:cs="宋体"/>
                <w:sz w:val="24"/>
              </w:rPr>
              <w:t>1.1</w:t>
            </w:r>
          </w:p>
        </w:tc>
        <w:tc>
          <w:tcPr>
            <w:tcW w:w="1692" w:type="dxa"/>
            <w:vAlign w:val="center"/>
          </w:tcPr>
          <w:p>
            <w:pPr>
              <w:pStyle w:val="42"/>
              <w:spacing w:before="0" w:after="0" w:line="240" w:lineRule="exact"/>
              <w:rPr>
                <w:rFonts w:ascii="宋体" w:hAnsi="宋体" w:cs="宋体"/>
                <w:sz w:val="24"/>
              </w:rPr>
            </w:pPr>
          </w:p>
        </w:tc>
        <w:tc>
          <w:tcPr>
            <w:tcW w:w="899" w:type="dxa"/>
            <w:vAlign w:val="top"/>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1062"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714" w:type="dxa"/>
            <w:vAlign w:val="center"/>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611" w:type="dxa"/>
            <w:vAlign w:val="center"/>
          </w:tcPr>
          <w:p>
            <w:pPr>
              <w:pStyle w:val="42"/>
              <w:spacing w:before="0" w:after="0" w:line="2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Align w:val="center"/>
          </w:tcPr>
          <w:p>
            <w:pPr>
              <w:pStyle w:val="42"/>
              <w:spacing w:before="0" w:after="0" w:line="240" w:lineRule="exact"/>
              <w:rPr>
                <w:rFonts w:ascii="宋体" w:hAnsi="宋体" w:cs="宋体"/>
                <w:sz w:val="24"/>
              </w:rPr>
            </w:pPr>
            <w:r>
              <w:rPr>
                <w:rFonts w:hint="eastAsia" w:ascii="宋体" w:hAnsi="宋体" w:cs="宋体"/>
                <w:sz w:val="24"/>
              </w:rPr>
              <w:t>1.2</w:t>
            </w:r>
          </w:p>
        </w:tc>
        <w:tc>
          <w:tcPr>
            <w:tcW w:w="1692" w:type="dxa"/>
            <w:vAlign w:val="center"/>
          </w:tcPr>
          <w:p>
            <w:pPr>
              <w:pStyle w:val="42"/>
              <w:spacing w:before="0" w:after="0" w:line="240" w:lineRule="exact"/>
              <w:rPr>
                <w:rFonts w:ascii="宋体" w:hAnsi="宋体" w:cs="宋体"/>
                <w:sz w:val="24"/>
              </w:rPr>
            </w:pPr>
          </w:p>
        </w:tc>
        <w:tc>
          <w:tcPr>
            <w:tcW w:w="899" w:type="dxa"/>
            <w:vAlign w:val="top"/>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1062"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714" w:type="dxa"/>
            <w:vAlign w:val="center"/>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611" w:type="dxa"/>
            <w:vAlign w:val="center"/>
          </w:tcPr>
          <w:p>
            <w:pPr>
              <w:pStyle w:val="42"/>
              <w:spacing w:before="0" w:after="0" w:line="2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Align w:val="center"/>
          </w:tcPr>
          <w:p>
            <w:pPr>
              <w:pStyle w:val="42"/>
              <w:spacing w:before="0" w:after="0" w:line="240" w:lineRule="exact"/>
              <w:rPr>
                <w:rFonts w:ascii="宋体" w:hAnsi="宋体" w:cs="宋体"/>
                <w:sz w:val="24"/>
              </w:rPr>
            </w:pPr>
            <w:r>
              <w:rPr>
                <w:rFonts w:hint="eastAsia" w:ascii="宋体" w:hAnsi="宋体" w:cs="宋体"/>
                <w:sz w:val="24"/>
              </w:rPr>
              <w:t>…</w:t>
            </w:r>
          </w:p>
        </w:tc>
        <w:tc>
          <w:tcPr>
            <w:tcW w:w="1692" w:type="dxa"/>
            <w:vAlign w:val="center"/>
          </w:tcPr>
          <w:p>
            <w:pPr>
              <w:pStyle w:val="42"/>
              <w:spacing w:before="0" w:after="0" w:line="240" w:lineRule="exact"/>
              <w:rPr>
                <w:rFonts w:ascii="宋体" w:hAnsi="宋体" w:cs="宋体"/>
                <w:sz w:val="24"/>
              </w:rPr>
            </w:pPr>
          </w:p>
        </w:tc>
        <w:tc>
          <w:tcPr>
            <w:tcW w:w="899" w:type="dxa"/>
            <w:vAlign w:val="top"/>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1062"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714" w:type="dxa"/>
            <w:vAlign w:val="center"/>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611" w:type="dxa"/>
            <w:vAlign w:val="center"/>
          </w:tcPr>
          <w:p>
            <w:pPr>
              <w:pStyle w:val="42"/>
              <w:spacing w:before="0" w:after="0" w:line="2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Align w:val="center"/>
          </w:tcPr>
          <w:p>
            <w:pPr>
              <w:pStyle w:val="79"/>
              <w:spacing w:before="0" w:after="0" w:line="240" w:lineRule="exact"/>
              <w:rPr>
                <w:rFonts w:ascii="宋体" w:hAnsi="宋体" w:cs="宋体"/>
                <w:sz w:val="24"/>
                <w:szCs w:val="24"/>
              </w:rPr>
            </w:pPr>
            <w:r>
              <w:rPr>
                <w:rFonts w:hint="eastAsia" w:ascii="宋体" w:hAnsi="宋体" w:cs="宋体"/>
                <w:sz w:val="24"/>
                <w:szCs w:val="24"/>
              </w:rPr>
              <w:t>2</w:t>
            </w:r>
          </w:p>
        </w:tc>
        <w:tc>
          <w:tcPr>
            <w:tcW w:w="1692" w:type="dxa"/>
            <w:vAlign w:val="center"/>
          </w:tcPr>
          <w:p>
            <w:pPr>
              <w:pStyle w:val="42"/>
              <w:spacing w:before="0" w:after="0" w:line="240" w:lineRule="exact"/>
              <w:rPr>
                <w:rFonts w:ascii="宋体" w:hAnsi="宋体" w:cs="宋体"/>
                <w:sz w:val="24"/>
              </w:rPr>
            </w:pPr>
            <w:r>
              <w:rPr>
                <w:rFonts w:hint="eastAsia" w:ascii="宋体" w:hAnsi="宋体" w:cs="宋体"/>
                <w:sz w:val="24"/>
              </w:rPr>
              <w:t>正在实施及新承接的项目</w:t>
            </w:r>
          </w:p>
        </w:tc>
        <w:tc>
          <w:tcPr>
            <w:tcW w:w="899" w:type="dxa"/>
            <w:vAlign w:val="top"/>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1062"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714" w:type="dxa"/>
            <w:vAlign w:val="center"/>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611" w:type="dxa"/>
            <w:vAlign w:val="center"/>
          </w:tcPr>
          <w:p>
            <w:pPr>
              <w:pStyle w:val="42"/>
              <w:spacing w:before="0" w:after="0" w:line="2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Align w:val="center"/>
          </w:tcPr>
          <w:p>
            <w:pPr>
              <w:pStyle w:val="42"/>
              <w:spacing w:before="0" w:after="0" w:line="240" w:lineRule="exact"/>
              <w:rPr>
                <w:rFonts w:ascii="宋体" w:hAnsi="宋体" w:cs="宋体"/>
                <w:sz w:val="24"/>
              </w:rPr>
            </w:pPr>
            <w:r>
              <w:rPr>
                <w:rFonts w:hint="eastAsia" w:ascii="宋体" w:hAnsi="宋体" w:cs="宋体"/>
                <w:sz w:val="24"/>
              </w:rPr>
              <w:t>2.1</w:t>
            </w:r>
          </w:p>
        </w:tc>
        <w:tc>
          <w:tcPr>
            <w:tcW w:w="1692" w:type="dxa"/>
            <w:vAlign w:val="center"/>
          </w:tcPr>
          <w:p>
            <w:pPr>
              <w:pStyle w:val="42"/>
              <w:spacing w:before="0" w:after="0" w:line="240" w:lineRule="exact"/>
              <w:rPr>
                <w:rFonts w:ascii="宋体" w:hAnsi="宋体" w:cs="宋体"/>
                <w:sz w:val="24"/>
              </w:rPr>
            </w:pPr>
          </w:p>
        </w:tc>
        <w:tc>
          <w:tcPr>
            <w:tcW w:w="899" w:type="dxa"/>
            <w:vAlign w:val="top"/>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1062"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714" w:type="dxa"/>
            <w:vAlign w:val="center"/>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611" w:type="dxa"/>
            <w:vAlign w:val="center"/>
          </w:tcPr>
          <w:p>
            <w:pPr>
              <w:pStyle w:val="42"/>
              <w:spacing w:before="0" w:after="0" w:line="2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Align w:val="center"/>
          </w:tcPr>
          <w:p>
            <w:pPr>
              <w:pStyle w:val="42"/>
              <w:spacing w:before="0" w:after="0" w:line="240" w:lineRule="exact"/>
              <w:rPr>
                <w:rFonts w:ascii="宋体" w:hAnsi="宋体" w:cs="宋体"/>
                <w:sz w:val="24"/>
              </w:rPr>
            </w:pPr>
            <w:r>
              <w:rPr>
                <w:rFonts w:hint="eastAsia" w:ascii="宋体" w:hAnsi="宋体" w:cs="宋体"/>
                <w:sz w:val="24"/>
              </w:rPr>
              <w:t>2.2</w:t>
            </w:r>
          </w:p>
        </w:tc>
        <w:tc>
          <w:tcPr>
            <w:tcW w:w="1692" w:type="dxa"/>
            <w:vAlign w:val="center"/>
          </w:tcPr>
          <w:p>
            <w:pPr>
              <w:pStyle w:val="42"/>
              <w:spacing w:before="0" w:after="0" w:line="240" w:lineRule="exact"/>
              <w:rPr>
                <w:rFonts w:ascii="宋体" w:hAnsi="宋体" w:cs="宋体"/>
                <w:sz w:val="24"/>
              </w:rPr>
            </w:pPr>
          </w:p>
        </w:tc>
        <w:tc>
          <w:tcPr>
            <w:tcW w:w="899" w:type="dxa"/>
            <w:vAlign w:val="top"/>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1062"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714" w:type="dxa"/>
            <w:vAlign w:val="center"/>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611" w:type="dxa"/>
            <w:vAlign w:val="center"/>
          </w:tcPr>
          <w:p>
            <w:pPr>
              <w:pStyle w:val="42"/>
              <w:spacing w:before="0" w:after="0" w:line="2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Align w:val="center"/>
          </w:tcPr>
          <w:p>
            <w:pPr>
              <w:pStyle w:val="42"/>
              <w:spacing w:before="0" w:after="0" w:line="240" w:lineRule="exact"/>
              <w:rPr>
                <w:rFonts w:ascii="宋体" w:hAnsi="宋体" w:cs="宋体"/>
                <w:sz w:val="24"/>
              </w:rPr>
            </w:pPr>
            <w:r>
              <w:rPr>
                <w:rFonts w:hint="eastAsia" w:ascii="宋体" w:hAnsi="宋体" w:cs="宋体"/>
                <w:sz w:val="24"/>
              </w:rPr>
              <w:t>…</w:t>
            </w:r>
          </w:p>
        </w:tc>
        <w:tc>
          <w:tcPr>
            <w:tcW w:w="1692" w:type="dxa"/>
            <w:vAlign w:val="center"/>
          </w:tcPr>
          <w:p>
            <w:pPr>
              <w:pStyle w:val="42"/>
              <w:spacing w:before="0" w:after="0" w:line="240" w:lineRule="exact"/>
              <w:rPr>
                <w:rFonts w:ascii="宋体" w:hAnsi="宋体" w:cs="宋体"/>
                <w:sz w:val="24"/>
              </w:rPr>
            </w:pPr>
          </w:p>
        </w:tc>
        <w:tc>
          <w:tcPr>
            <w:tcW w:w="899" w:type="dxa"/>
            <w:vAlign w:val="top"/>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1062"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1027" w:type="dxa"/>
            <w:vAlign w:val="center"/>
          </w:tcPr>
          <w:p>
            <w:pPr>
              <w:pStyle w:val="42"/>
              <w:spacing w:before="0" w:after="0" w:line="240" w:lineRule="exact"/>
              <w:rPr>
                <w:rFonts w:ascii="宋体" w:hAnsi="宋体" w:cs="宋体"/>
                <w:sz w:val="24"/>
              </w:rPr>
            </w:pPr>
          </w:p>
        </w:tc>
        <w:tc>
          <w:tcPr>
            <w:tcW w:w="714" w:type="dxa"/>
            <w:vAlign w:val="center"/>
          </w:tcPr>
          <w:p>
            <w:pPr>
              <w:pStyle w:val="42"/>
              <w:spacing w:before="0" w:after="0" w:line="240" w:lineRule="exact"/>
              <w:rPr>
                <w:rFonts w:ascii="宋体" w:hAnsi="宋体" w:cs="宋体"/>
                <w:sz w:val="24"/>
              </w:rPr>
            </w:pPr>
          </w:p>
        </w:tc>
        <w:tc>
          <w:tcPr>
            <w:tcW w:w="897" w:type="dxa"/>
            <w:vAlign w:val="center"/>
          </w:tcPr>
          <w:p>
            <w:pPr>
              <w:pStyle w:val="42"/>
              <w:spacing w:before="0" w:after="0" w:line="240" w:lineRule="exact"/>
              <w:rPr>
                <w:rFonts w:ascii="宋体" w:hAnsi="宋体" w:cs="宋体"/>
                <w:sz w:val="24"/>
              </w:rPr>
            </w:pPr>
          </w:p>
        </w:tc>
        <w:tc>
          <w:tcPr>
            <w:tcW w:w="611" w:type="dxa"/>
            <w:vAlign w:val="center"/>
          </w:tcPr>
          <w:p>
            <w:pPr>
              <w:pStyle w:val="42"/>
              <w:spacing w:before="0" w:after="0" w:line="240" w:lineRule="exact"/>
              <w:rPr>
                <w:rFonts w:ascii="宋体" w:hAnsi="宋体" w:cs="宋体"/>
                <w:sz w:val="24"/>
              </w:rPr>
            </w:pPr>
          </w:p>
        </w:tc>
      </w:tr>
    </w:tbl>
    <w:p>
      <w:pPr>
        <w:rPr>
          <w:rFonts w:ascii="宋体" w:hAnsi="宋体" w:cs="宋体"/>
          <w:kern w:val="0"/>
          <w:sz w:val="24"/>
          <w:szCs w:val="24"/>
        </w:rPr>
      </w:pPr>
      <w:r>
        <w:rPr>
          <w:rFonts w:hint="eastAsia" w:ascii="宋体" w:hAnsi="宋体" w:cs="宋体"/>
          <w:kern w:val="0"/>
          <w:sz w:val="24"/>
          <w:szCs w:val="24"/>
        </w:rPr>
        <w:t>注：①上表中的每个项目，均应附该项目的委托人招标人出具的证明资料、中标通知书复印件或合同协议书复印件。</w:t>
      </w:r>
    </w:p>
    <w:p>
      <w:pPr>
        <w:numPr>
          <w:ilvl w:val="0"/>
          <w:numId w:val="7"/>
        </w:numPr>
        <w:rPr>
          <w:rFonts w:ascii="宋体" w:hAnsi="宋体" w:cs="宋体"/>
          <w:b/>
          <w:bCs/>
          <w:kern w:val="0"/>
          <w:sz w:val="24"/>
          <w:szCs w:val="24"/>
        </w:rPr>
      </w:pPr>
      <w:r>
        <w:rPr>
          <w:rFonts w:hint="eastAsia" w:ascii="宋体" w:hAnsi="宋体" w:cs="宋体"/>
          <w:b/>
          <w:bCs/>
          <w:kern w:val="0"/>
          <w:sz w:val="24"/>
          <w:szCs w:val="24"/>
        </w:rPr>
        <w:t>上述提及的近年，均以本项目投标人须知有关业绩要求为准。</w:t>
      </w:r>
    </w:p>
    <w:p>
      <w:pPr>
        <w:spacing w:before="0" w:after="0" w:line="460" w:lineRule="auto"/>
        <w:ind w:firstLine="4320" w:firstLineChars="180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（单位名称）</w:t>
      </w:r>
      <w:r>
        <w:rPr>
          <w:rFonts w:hint="eastAsia" w:ascii="宋体" w:hAnsi="宋体" w:cs="宋体"/>
          <w:sz w:val="24"/>
          <w:szCs w:val="24"/>
        </w:rPr>
        <w:t>（盖单位公章）</w:t>
      </w:r>
    </w:p>
    <w:p>
      <w:pPr>
        <w:spacing w:before="0" w:after="0" w:line="460" w:lineRule="auto"/>
        <w:ind w:firstLine="4320" w:firstLineChars="1800"/>
        <w:rPr>
          <w:rFonts w:ascii="宋体" w:hAnsi="宋体" w:cs="宋体"/>
          <w:sz w:val="24"/>
          <w:szCs w:val="24"/>
        </w:rPr>
      </w:pPr>
      <w:r>
        <w:rPr>
          <w:rFonts w:hint="eastAsia" w:ascii="宋体" w:hAnsi="宋体" w:cs="宋体"/>
          <w:sz w:val="24"/>
          <w:szCs w:val="24"/>
        </w:rPr>
        <w:t>法定代表人（或委托代理人）：（签名）</w:t>
      </w:r>
    </w:p>
    <w:p>
      <w:pPr>
        <w:tabs>
          <w:tab w:val="left" w:pos="1204"/>
          <w:tab w:val="left" w:pos="7800"/>
        </w:tabs>
        <w:spacing w:before="0" w:after="0" w:line="460" w:lineRule="auto"/>
        <w:rPr>
          <w:rFonts w:ascii="宋体" w:hAnsi="宋体" w:cs="宋体"/>
          <w:sz w:val="24"/>
          <w:szCs w:val="24"/>
        </w:rPr>
      </w:pPr>
      <w:r>
        <w:rPr>
          <w:rFonts w:hint="eastAsia" w:ascii="宋体" w:hAnsi="宋体" w:cs="宋体"/>
          <w:sz w:val="24"/>
          <w:szCs w:val="24"/>
        </w:rPr>
        <w:t xml:space="preserve">                                    日   期：     年   月    日</w:t>
      </w:r>
    </w:p>
    <w:p>
      <w:pPr>
        <w:spacing w:before="0" w:after="0" w:line="240" w:lineRule="auto"/>
        <w:jc w:val="left"/>
        <w:rPr>
          <w:rFonts w:ascii="宋体" w:hAnsi="宋体" w:cs="宋体"/>
          <w:b/>
          <w:bCs/>
          <w:sz w:val="24"/>
          <w:szCs w:val="24"/>
        </w:rPr>
      </w:pPr>
      <w:r>
        <w:rPr>
          <w:rFonts w:hint="eastAsia" w:ascii="宋体" w:hAnsi="宋体" w:cs="宋体"/>
          <w:b/>
          <w:bCs/>
          <w:sz w:val="24"/>
          <w:szCs w:val="24"/>
        </w:rPr>
        <w:t>4.3企业履约信誉证明材料</w:t>
      </w:r>
    </w:p>
    <w:p>
      <w:pPr>
        <w:adjustRightInd w:val="0"/>
        <w:snapToGrid w:val="0"/>
        <w:spacing w:before="0" w:after="0" w:line="360" w:lineRule="auto"/>
        <w:ind w:firstLine="480" w:firstLineChars="200"/>
        <w:jc w:val="left"/>
        <w:textAlignment w:val="baseline"/>
        <w:rPr>
          <w:rFonts w:ascii="宋体" w:hAnsi="宋体" w:cs="宋体"/>
          <w:sz w:val="24"/>
          <w:szCs w:val="24"/>
        </w:rPr>
        <w:sectPr>
          <w:pgSz w:w="11906" w:h="16838"/>
          <w:pgMar w:top="1247" w:right="1247" w:bottom="1247" w:left="1304" w:header="851" w:footer="851" w:gutter="57"/>
          <w:pgNumType w:fmt="decimal"/>
          <w:cols w:space="720" w:num="1"/>
          <w:docGrid w:type="lines" w:linePitch="332" w:charSpace="-4916"/>
        </w:sectPr>
      </w:pPr>
      <w:r>
        <w:rPr>
          <w:rFonts w:hint="eastAsia" w:ascii="宋体" w:hAnsi="宋体" w:cs="宋体"/>
          <w:snapToGrid w:val="0"/>
          <w:kern w:val="0"/>
          <w:sz w:val="24"/>
          <w:szCs w:val="24"/>
        </w:rPr>
        <w:t>投标人应提交</w:t>
      </w:r>
      <w:r>
        <w:rPr>
          <w:rFonts w:hint="eastAsia" w:ascii="宋体" w:hAnsi="宋体" w:cs="宋体"/>
          <w:snapToGrid w:val="0"/>
          <w:sz w:val="24"/>
          <w:szCs w:val="24"/>
        </w:rPr>
        <w:t>投标人所在行业的信用评价权威机构出具的企业信用等级证书或证明。</w:t>
      </w:r>
      <w:bookmarkStart w:id="264" w:name="_Toc26723"/>
    </w:p>
    <w:bookmarkEnd w:id="264"/>
    <w:p>
      <w:pPr>
        <w:widowControl w:val="0"/>
        <w:spacing w:before="0" w:after="0" w:line="360" w:lineRule="exact"/>
        <w:ind w:right="480"/>
        <w:jc w:val="center"/>
        <w:outlineLvl w:val="1"/>
        <w:rPr>
          <w:rFonts w:ascii="宋体" w:hAnsi="宋体" w:cs="宋体"/>
          <w:b/>
          <w:bCs/>
          <w:sz w:val="24"/>
          <w:szCs w:val="24"/>
        </w:rPr>
      </w:pPr>
      <w:bookmarkStart w:id="265" w:name="_Toc2599"/>
      <w:r>
        <w:rPr>
          <w:rFonts w:hint="eastAsia" w:ascii="宋体" w:hAnsi="宋体" w:cs="宋体"/>
          <w:b/>
          <w:bCs/>
          <w:sz w:val="24"/>
          <w:szCs w:val="24"/>
        </w:rPr>
        <w:t>第5节 报价表</w:t>
      </w:r>
    </w:p>
    <w:p>
      <w:pPr>
        <w:adjustRightInd w:val="0"/>
        <w:snapToGrid w:val="0"/>
        <w:spacing w:before="0" w:after="0" w:line="360" w:lineRule="auto"/>
        <w:outlineLvl w:val="2"/>
        <w:rPr>
          <w:rFonts w:ascii="宋体" w:hAnsi="宋体" w:cs="宋体"/>
          <w:sz w:val="24"/>
          <w:szCs w:val="24"/>
        </w:rPr>
      </w:pPr>
      <w:r>
        <w:rPr>
          <w:rFonts w:hint="eastAsia" w:ascii="宋体" w:hAnsi="宋体" w:cs="宋体"/>
          <w:sz w:val="24"/>
          <w:szCs w:val="24"/>
        </w:rPr>
        <w:t>5.1报价表说明</w:t>
      </w:r>
      <w:bookmarkStart w:id="266" w:name="_Ref37587214"/>
    </w:p>
    <w:p>
      <w:pPr>
        <w:numPr>
          <w:ilvl w:val="1"/>
          <w:numId w:val="8"/>
        </w:numPr>
        <w:adjustRightInd w:val="0"/>
        <w:snapToGrid w:val="0"/>
        <w:spacing w:before="0" w:after="0" w:line="360" w:lineRule="auto"/>
        <w:ind w:left="0" w:firstLine="480" w:firstLineChars="200"/>
        <w:rPr>
          <w:rFonts w:ascii="宋体" w:hAnsi="宋体" w:cs="宋体"/>
          <w:sz w:val="24"/>
          <w:szCs w:val="24"/>
        </w:rPr>
      </w:pPr>
      <w:r>
        <w:rPr>
          <w:rFonts w:hint="eastAsia" w:ascii="宋体" w:hAnsi="宋体" w:cs="宋体"/>
          <w:sz w:val="24"/>
          <w:szCs w:val="24"/>
        </w:rPr>
        <w:t>投标人应按招标文件投标人须知有关规定及本报价表的内容及格式要求，并结合招标文件所有条款及条件的要求，完整填写报价表中各项内容。凡未填写单价、合价的项目，其所需全部费用均视为已计入报价表中其他已填写项目的单价、合价及总报价内。</w:t>
      </w:r>
    </w:p>
    <w:p>
      <w:pPr>
        <w:numPr>
          <w:ilvl w:val="1"/>
          <w:numId w:val="8"/>
        </w:numPr>
        <w:adjustRightInd w:val="0"/>
        <w:snapToGrid w:val="0"/>
        <w:spacing w:before="0" w:beforeLines="0" w:after="0" w:afterLines="0" w:line="360" w:lineRule="auto"/>
        <w:ind w:left="0" w:firstLine="480" w:firstLineChars="200"/>
        <w:rPr>
          <w:rFonts w:hint="eastAsia" w:ascii="宋体" w:hAnsi="宋体" w:cs="宋体"/>
          <w:sz w:val="24"/>
          <w:szCs w:val="24"/>
        </w:rPr>
      </w:pPr>
      <w:r>
        <w:rPr>
          <w:rFonts w:hint="eastAsia" w:ascii="宋体" w:hAnsi="宋体" w:cs="宋体"/>
          <w:sz w:val="24"/>
          <w:szCs w:val="24"/>
        </w:rPr>
        <w:t>本报价表中的单价、合价及总报价均已包括受托人为完成合同规定的全部工作所需的一切直接费、间接费、合理利润、税金及物价波动的风险，并考虑了合同明示和暗示规定由受托人承担的其他全部风险所发生的一切费用。</w:t>
      </w:r>
    </w:p>
    <w:p>
      <w:pPr>
        <w:numPr>
          <w:ilvl w:val="1"/>
          <w:numId w:val="8"/>
        </w:numPr>
        <w:adjustRightInd w:val="0"/>
        <w:snapToGrid w:val="0"/>
        <w:spacing w:before="0" w:after="0" w:line="360" w:lineRule="auto"/>
        <w:ind w:left="0" w:firstLine="480" w:firstLineChars="200"/>
        <w:rPr>
          <w:rFonts w:ascii="宋体" w:hAnsi="宋体" w:cs="宋体"/>
          <w:sz w:val="24"/>
          <w:szCs w:val="24"/>
        </w:rPr>
      </w:pPr>
      <w:r>
        <w:rPr>
          <w:rFonts w:hint="eastAsia" w:ascii="宋体" w:hAnsi="宋体" w:cs="宋体"/>
          <w:sz w:val="24"/>
          <w:szCs w:val="24"/>
        </w:rPr>
        <w:t>投标人应将所有报价表文字说明（其中含投标文件格式专用条款中对报价表说明的补充、修改等全部内容）附在报价表中一并提交。</w:t>
      </w:r>
    </w:p>
    <w:p>
      <w:pPr>
        <w:numPr>
          <w:ilvl w:val="1"/>
          <w:numId w:val="8"/>
        </w:numPr>
        <w:adjustRightInd w:val="0"/>
        <w:snapToGrid w:val="0"/>
        <w:spacing w:before="0" w:after="0" w:line="360" w:lineRule="auto"/>
        <w:ind w:left="0" w:firstLine="480" w:firstLineChars="200"/>
        <w:rPr>
          <w:rFonts w:ascii="宋体" w:hAnsi="宋体" w:cs="宋体"/>
          <w:sz w:val="24"/>
          <w:szCs w:val="24"/>
        </w:rPr>
      </w:pPr>
      <w:r>
        <w:rPr>
          <w:rFonts w:hint="eastAsia" w:ascii="宋体" w:hAnsi="宋体" w:cs="宋体"/>
          <w:sz w:val="24"/>
          <w:szCs w:val="24"/>
        </w:rPr>
        <w:t>报价表一般未对所提供的分部分项和每一项下的服务进行详细的描述，报价人应被认为在填报单价和价格之前，已经阅读了询价文件，特别是技术部分，并审查了所有图纸，以确保要求的所有范围已被包含在每一个项目内。报出的单价和价格应被认为还包含所有隐含的内容，以及包含管理费、利润、税金及人工工资上涨等风险费用。</w:t>
      </w:r>
    </w:p>
    <w:p>
      <w:pPr>
        <w:numPr>
          <w:ilvl w:val="1"/>
          <w:numId w:val="8"/>
        </w:numPr>
        <w:adjustRightInd w:val="0"/>
        <w:snapToGrid w:val="0"/>
        <w:spacing w:before="0" w:after="0" w:line="360" w:lineRule="auto"/>
        <w:ind w:left="0" w:firstLine="480" w:firstLineChars="200"/>
        <w:rPr>
          <w:rFonts w:ascii="宋体" w:hAnsi="宋体" w:cs="宋体"/>
          <w:sz w:val="24"/>
          <w:szCs w:val="24"/>
        </w:rPr>
      </w:pPr>
      <w:r>
        <w:rPr>
          <w:rFonts w:hint="eastAsia" w:ascii="宋体" w:hAnsi="宋体" w:cs="宋体"/>
          <w:sz w:val="24"/>
          <w:szCs w:val="24"/>
        </w:rPr>
        <w:t>未填单价的项目应被认为已包括在其他项目中。不论每个分项目是否标价，各分项价格表中的总金额及报价汇总表中总金额应被认为是按询价文件规定实施全部工作的总费用。</w:t>
      </w:r>
    </w:p>
    <w:p>
      <w:pPr>
        <w:numPr>
          <w:ilvl w:val="1"/>
          <w:numId w:val="8"/>
        </w:numPr>
        <w:adjustRightInd w:val="0"/>
        <w:snapToGrid w:val="0"/>
        <w:spacing w:before="0" w:beforeLines="0" w:after="0" w:afterLines="0" w:line="360" w:lineRule="auto"/>
        <w:ind w:left="0" w:firstLine="480" w:firstLineChars="200"/>
        <w:rPr>
          <w:rFonts w:hint="eastAsia" w:ascii="宋体" w:hAnsi="宋体" w:cs="宋体"/>
          <w:sz w:val="24"/>
          <w:szCs w:val="24"/>
        </w:rPr>
      </w:pPr>
      <w:r>
        <w:rPr>
          <w:rFonts w:hint="eastAsia" w:ascii="宋体" w:hAnsi="宋体" w:cs="宋体"/>
          <w:kern w:val="0"/>
          <w:sz w:val="24"/>
          <w:szCs w:val="24"/>
        </w:rPr>
        <w:t>人员费用价格为综合单价，包含工资、五险一金、福利、劳动保护、工装、管理费、利润、税金及人工工资上涨风险等所有费用。</w:t>
      </w:r>
      <w:r>
        <w:rPr>
          <w:rFonts w:hint="eastAsia" w:ascii="宋体" w:hAnsi="宋体" w:cs="宋体"/>
          <w:sz w:val="24"/>
          <w:szCs w:val="24"/>
        </w:rPr>
        <w:t>合同服务期内</w:t>
      </w:r>
      <w:r>
        <w:rPr>
          <w:rFonts w:hint="eastAsia" w:ascii="宋体" w:hAnsi="宋体" w:cs="宋体"/>
          <w:sz w:val="24"/>
          <w:szCs w:val="24"/>
          <w:lang w:val="en-US" w:eastAsia="zh-CN"/>
        </w:rPr>
        <w:t>单价</w:t>
      </w:r>
      <w:r>
        <w:rPr>
          <w:rFonts w:hint="eastAsia" w:ascii="宋体" w:hAnsi="宋体" w:cs="宋体"/>
          <w:sz w:val="24"/>
          <w:szCs w:val="24"/>
        </w:rPr>
        <w:t>不得因物价波动</w:t>
      </w:r>
      <w:r>
        <w:rPr>
          <w:rFonts w:hint="eastAsia" w:ascii="宋体" w:hAnsi="宋体" w:cs="宋体"/>
          <w:sz w:val="24"/>
          <w:szCs w:val="24"/>
          <w:lang w:eastAsia="zh-CN"/>
        </w:rPr>
        <w:t>（</w:t>
      </w:r>
      <w:r>
        <w:rPr>
          <w:rFonts w:hint="eastAsia" w:ascii="宋体" w:hAnsi="宋体" w:cs="宋体"/>
          <w:sz w:val="24"/>
          <w:szCs w:val="24"/>
          <w:lang w:val="en-US" w:eastAsia="zh-CN"/>
        </w:rPr>
        <w:t>含人工工资上涨</w:t>
      </w:r>
      <w:r>
        <w:rPr>
          <w:rFonts w:hint="eastAsia" w:ascii="宋体" w:hAnsi="宋体" w:cs="宋体"/>
          <w:sz w:val="24"/>
          <w:szCs w:val="24"/>
          <w:lang w:eastAsia="zh-CN"/>
        </w:rPr>
        <w:t>）</w:t>
      </w:r>
      <w:r>
        <w:rPr>
          <w:rFonts w:hint="eastAsia" w:ascii="宋体" w:hAnsi="宋体" w:cs="宋体"/>
          <w:sz w:val="24"/>
          <w:szCs w:val="24"/>
        </w:rPr>
        <w:t>引起的价格变动等因素而调整合同价格。</w:t>
      </w:r>
      <w:r>
        <w:rPr>
          <w:rFonts w:hint="eastAsia" w:ascii="宋体" w:hAnsi="宋体" w:cs="宋体"/>
          <w:sz w:val="24"/>
          <w:szCs w:val="24"/>
          <w:lang w:val="en-US" w:eastAsia="zh-CN"/>
        </w:rPr>
        <w:t>合同执行过程中岗位人员数量以发包人实际确认为准。</w:t>
      </w:r>
    </w:p>
    <w:p>
      <w:pPr>
        <w:snapToGrid w:val="0"/>
        <w:spacing w:before="0" w:after="0"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7</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报价表中所列为完成本项目所有工作而发生的一个年度的费用。</w:t>
      </w:r>
    </w:p>
    <w:p>
      <w:pPr>
        <w:numPr>
          <w:ilvl w:val="0"/>
          <w:numId w:val="0"/>
        </w:numPr>
        <w:snapToGrid w:val="0"/>
        <w:spacing w:before="0" w:after="0" w:line="360" w:lineRule="auto"/>
        <w:ind w:firstLine="0" w:firstLineChars="0"/>
        <w:rPr>
          <w:rFonts w:ascii="宋体" w:hAnsi="宋体" w:cs="宋体"/>
          <w:kern w:val="0"/>
          <w:sz w:val="24"/>
          <w:szCs w:val="24"/>
        </w:rPr>
      </w:pPr>
      <w:r>
        <w:rPr>
          <w:rFonts w:hint="eastAsia" w:ascii="宋体" w:hAnsi="宋体" w:cs="宋体"/>
          <w:sz w:val="24"/>
          <w:szCs w:val="24"/>
          <w:lang w:val="en-US" w:eastAsia="zh-CN"/>
        </w:rPr>
        <w:t xml:space="preserve">    （8）</w:t>
      </w:r>
      <w:r>
        <w:rPr>
          <w:rFonts w:hint="eastAsia" w:ascii="宋体" w:hAnsi="宋体" w:cs="宋体"/>
          <w:sz w:val="24"/>
          <w:szCs w:val="24"/>
        </w:rPr>
        <w:t>暂列金额</w:t>
      </w:r>
      <w:r>
        <w:rPr>
          <w:rFonts w:hint="eastAsia" w:ascii="宋体" w:hAnsi="宋体" w:cs="宋体"/>
          <w:sz w:val="24"/>
          <w:szCs w:val="24"/>
          <w:lang w:val="en-US" w:eastAsia="zh-CN"/>
        </w:rPr>
        <w:t>5</w:t>
      </w:r>
      <w:r>
        <w:rPr>
          <w:rFonts w:hint="eastAsia" w:ascii="宋体" w:hAnsi="宋体" w:cs="宋体"/>
          <w:sz w:val="24"/>
          <w:szCs w:val="24"/>
        </w:rPr>
        <w:t>0万元，其使用范围包括：</w:t>
      </w:r>
      <w:r>
        <w:rPr>
          <w:rFonts w:hint="eastAsia" w:ascii="宋体" w:hAnsi="宋体" w:cs="宋体"/>
          <w:kern w:val="0"/>
          <w:sz w:val="24"/>
          <w:szCs w:val="24"/>
        </w:rPr>
        <w:t>电厂公用部位、公用设施设备的日常运行、维护；管理区域清洁卫生；物业管理区域绿化养护；物业管理区域秩序维护等所需要的保洁用品、维护修理用材料、备品备件等。合同履行过程中，由乙方具体负责办理（计划报批、采购、使用和管理），所发生的费用由甲方承担，加收</w:t>
      </w:r>
      <w:r>
        <w:rPr>
          <w:rFonts w:hint="eastAsia" w:ascii="宋体" w:hAnsi="宋体" w:cs="宋体"/>
          <w:kern w:val="0"/>
          <w:sz w:val="24"/>
          <w:szCs w:val="24"/>
          <w:lang w:val="en-US" w:eastAsia="zh-CN"/>
        </w:rPr>
        <w:t>5</w:t>
      </w:r>
      <w:r>
        <w:rPr>
          <w:rFonts w:hint="eastAsia" w:ascii="宋体" w:hAnsi="宋体" w:cs="宋体"/>
          <w:kern w:val="0"/>
          <w:sz w:val="24"/>
          <w:szCs w:val="24"/>
        </w:rPr>
        <w:t>%的管理费和相应标准的税金。每季度根据甲方管理部门审核确认的费用，纳入乙方结算中支付。</w:t>
      </w:r>
    </w:p>
    <w:p>
      <w:pPr>
        <w:pStyle w:val="14"/>
        <w:rPr>
          <w:rFonts w:ascii="宋体" w:hAnsi="宋体" w:eastAsia="宋体" w:cs="宋体"/>
          <w:sz w:val="24"/>
          <w:szCs w:val="24"/>
        </w:rPr>
      </w:pPr>
    </w:p>
    <w:p>
      <w:pPr>
        <w:pStyle w:val="14"/>
        <w:rPr>
          <w:rFonts w:ascii="宋体" w:hAnsi="宋体" w:eastAsia="宋体" w:cs="宋体"/>
          <w:sz w:val="24"/>
          <w:szCs w:val="24"/>
        </w:rPr>
      </w:pPr>
    </w:p>
    <w:p>
      <w:pPr>
        <w:pStyle w:val="14"/>
        <w:snapToGrid w:val="0"/>
        <w:spacing w:after="0" w:line="240" w:lineRule="atLeast"/>
        <w:outlineLvl w:val="2"/>
        <w:rPr>
          <w:rFonts w:ascii="宋体" w:hAnsi="宋体" w:eastAsia="宋体" w:cs="宋体"/>
          <w:b/>
          <w:sz w:val="24"/>
          <w:szCs w:val="24"/>
        </w:rPr>
      </w:pPr>
      <w:r>
        <w:rPr>
          <w:rFonts w:hint="eastAsia" w:ascii="宋体" w:hAnsi="宋体" w:eastAsia="宋体" w:cs="宋体"/>
          <w:b/>
          <w:sz w:val="24"/>
          <w:szCs w:val="24"/>
        </w:rPr>
        <w:t>5.2 报价表</w:t>
      </w:r>
    </w:p>
    <w:p>
      <w:pPr>
        <w:spacing w:before="0" w:after="0" w:line="460" w:lineRule="auto"/>
        <w:jc w:val="center"/>
        <w:rPr>
          <w:rFonts w:ascii="宋体" w:hAnsi="宋体" w:cs="宋体"/>
          <w:b/>
          <w:bCs/>
          <w:sz w:val="24"/>
          <w:szCs w:val="24"/>
        </w:rPr>
      </w:pPr>
      <w:r>
        <w:rPr>
          <w:rFonts w:hint="eastAsia" w:ascii="宋体" w:hAnsi="宋体" w:cs="宋体"/>
          <w:b/>
          <w:bCs/>
          <w:sz w:val="24"/>
          <w:szCs w:val="24"/>
        </w:rPr>
        <w:t>报价表</w:t>
      </w:r>
    </w:p>
    <w:p>
      <w:pPr>
        <w:spacing w:before="0" w:after="0" w:line="460" w:lineRule="auto"/>
        <w:jc w:val="right"/>
        <w:rPr>
          <w:rFonts w:ascii="宋体" w:hAnsi="宋体" w:cs="宋体"/>
          <w:b/>
          <w:bCs/>
          <w:sz w:val="24"/>
          <w:szCs w:val="24"/>
        </w:rPr>
      </w:pPr>
      <w:r>
        <w:rPr>
          <w:rFonts w:hint="eastAsia" w:ascii="宋体" w:hAnsi="宋体" w:cs="宋体"/>
          <w:b/>
          <w:bCs/>
          <w:sz w:val="24"/>
          <w:szCs w:val="24"/>
        </w:rPr>
        <w:t>单位：人民币元</w:t>
      </w:r>
    </w:p>
    <w:tbl>
      <w:tblPr>
        <w:tblStyle w:val="33"/>
        <w:tblW w:w="95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2297"/>
        <w:gridCol w:w="1274"/>
        <w:gridCol w:w="1274"/>
        <w:gridCol w:w="1273"/>
        <w:gridCol w:w="1215"/>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blHeade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Lines="0" w:after="0" w:afterLines="0" w:line="240" w:lineRule="exact"/>
              <w:jc w:val="center"/>
              <w:rPr>
                <w:rFonts w:ascii="宋体" w:hAnsi="宋体" w:cs="宋体"/>
                <w:b/>
                <w:bCs/>
                <w:kern w:val="0"/>
                <w:sz w:val="20"/>
                <w:szCs w:val="21"/>
              </w:rPr>
            </w:pPr>
            <w:r>
              <w:rPr>
                <w:rFonts w:hint="eastAsia" w:ascii="宋体" w:hAnsi="宋体" w:cs="宋体"/>
                <w:b/>
                <w:bCs/>
                <w:kern w:val="0"/>
                <w:sz w:val="20"/>
                <w:szCs w:val="21"/>
              </w:rPr>
              <w:t>序号</w:t>
            </w:r>
          </w:p>
        </w:tc>
        <w:tc>
          <w:tcPr>
            <w:tcW w:w="2297" w:type="dxa"/>
            <w:tcBorders>
              <w:top w:val="single" w:color="auto" w:sz="4" w:space="0"/>
              <w:left w:val="nil"/>
              <w:bottom w:val="single" w:color="auto" w:sz="4" w:space="0"/>
              <w:right w:val="single" w:color="auto" w:sz="4" w:space="0"/>
            </w:tcBorders>
            <w:shd w:val="clear" w:color="auto" w:fill="FFFFFF"/>
            <w:vAlign w:val="center"/>
          </w:tcPr>
          <w:p>
            <w:pPr>
              <w:spacing w:before="0" w:beforeLines="0" w:after="0" w:afterLines="0" w:line="240" w:lineRule="exact"/>
              <w:jc w:val="center"/>
              <w:rPr>
                <w:rFonts w:ascii="宋体" w:hAnsi="宋体" w:cs="宋体"/>
                <w:b/>
                <w:bCs/>
                <w:kern w:val="0"/>
                <w:sz w:val="20"/>
                <w:szCs w:val="21"/>
              </w:rPr>
            </w:pPr>
            <w:r>
              <w:rPr>
                <w:rFonts w:hint="eastAsia" w:ascii="宋体" w:hAnsi="宋体" w:cs="宋体"/>
                <w:b/>
                <w:bCs/>
                <w:kern w:val="0"/>
                <w:sz w:val="20"/>
                <w:szCs w:val="21"/>
              </w:rPr>
              <w:t>项目名称</w:t>
            </w:r>
          </w:p>
        </w:tc>
        <w:tc>
          <w:tcPr>
            <w:tcW w:w="127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宋体" w:hAnsi="宋体" w:cs="宋体"/>
                <w:b/>
                <w:bCs/>
                <w:kern w:val="0"/>
                <w:sz w:val="20"/>
                <w:szCs w:val="21"/>
              </w:rPr>
            </w:pPr>
            <w:r>
              <w:rPr>
                <w:rFonts w:hint="eastAsia" w:ascii="宋体" w:hAnsi="宋体" w:cs="宋体"/>
                <w:b/>
                <w:bCs/>
                <w:kern w:val="0"/>
                <w:sz w:val="20"/>
                <w:szCs w:val="21"/>
              </w:rPr>
              <w:t>单位</w:t>
            </w:r>
          </w:p>
        </w:tc>
        <w:tc>
          <w:tcPr>
            <w:tcW w:w="127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宋体" w:hAnsi="宋体" w:cs="宋体"/>
                <w:b/>
                <w:bCs/>
                <w:kern w:val="0"/>
                <w:sz w:val="20"/>
                <w:szCs w:val="21"/>
              </w:rPr>
            </w:pPr>
            <w:r>
              <w:rPr>
                <w:rFonts w:hint="eastAsia" w:ascii="宋体" w:hAnsi="宋体" w:cs="宋体"/>
                <w:b/>
                <w:bCs/>
                <w:kern w:val="0"/>
                <w:sz w:val="20"/>
                <w:szCs w:val="21"/>
              </w:rPr>
              <w:t>工程数量</w:t>
            </w:r>
          </w:p>
        </w:tc>
        <w:tc>
          <w:tcPr>
            <w:tcW w:w="1273"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Calibri" w:hAnsi="Calibri"/>
                <w:b/>
                <w:bCs/>
                <w:sz w:val="20"/>
                <w:szCs w:val="21"/>
              </w:rPr>
            </w:pPr>
            <w:r>
              <w:rPr>
                <w:rFonts w:hint="eastAsia" w:ascii="宋体" w:hAnsi="宋体" w:cs="宋体"/>
                <w:b/>
                <w:bCs/>
                <w:kern w:val="0"/>
                <w:sz w:val="20"/>
                <w:szCs w:val="21"/>
              </w:rPr>
              <w:t>单价</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center"/>
              <w:rPr>
                <w:rFonts w:ascii="宋体" w:hAnsi="宋体" w:cs="宋体"/>
                <w:b/>
                <w:bCs/>
                <w:kern w:val="0"/>
                <w:sz w:val="20"/>
                <w:szCs w:val="21"/>
              </w:rPr>
            </w:pPr>
            <w:r>
              <w:rPr>
                <w:rFonts w:hint="eastAsia" w:ascii="宋体" w:hAnsi="宋体" w:cs="宋体"/>
                <w:b/>
                <w:bCs/>
                <w:kern w:val="0"/>
                <w:sz w:val="20"/>
                <w:szCs w:val="21"/>
              </w:rPr>
              <w:t>合价</w:t>
            </w:r>
          </w:p>
        </w:tc>
        <w:tc>
          <w:tcPr>
            <w:tcW w:w="132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宋体" w:hAnsi="宋体" w:cs="宋体"/>
                <w:b/>
                <w:bCs/>
                <w:kern w:val="0"/>
                <w:sz w:val="20"/>
                <w:szCs w:val="21"/>
              </w:rPr>
            </w:pPr>
            <w:r>
              <w:rPr>
                <w:rFonts w:hint="eastAsia" w:ascii="宋体" w:hAnsi="宋体" w:cs="宋体"/>
                <w:b/>
                <w:bCs/>
                <w:kern w:val="0"/>
                <w:sz w:val="2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blHeader/>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center"/>
              <w:rPr>
                <w:rFonts w:hint="eastAsia" w:ascii="宋体" w:hAnsi="宋体" w:eastAsia="宋体" w:cs="宋体"/>
                <w:kern w:val="0"/>
                <w:sz w:val="20"/>
                <w:szCs w:val="21"/>
                <w:lang w:eastAsia="zh-CN"/>
              </w:rPr>
            </w:pPr>
            <w:r>
              <w:rPr>
                <w:rFonts w:hint="eastAsia" w:ascii="宋体" w:hAnsi="宋体" w:cs="宋体"/>
                <w:kern w:val="0"/>
                <w:sz w:val="20"/>
                <w:szCs w:val="21"/>
                <w:lang w:val="en-US" w:eastAsia="zh-CN"/>
              </w:rPr>
              <w:t>1</w:t>
            </w:r>
          </w:p>
        </w:tc>
        <w:tc>
          <w:tcPr>
            <w:tcW w:w="2297"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left"/>
              <w:rPr>
                <w:rFonts w:hint="default" w:ascii="宋体" w:hAnsi="宋体" w:cs="宋体"/>
                <w:kern w:val="0"/>
                <w:sz w:val="20"/>
                <w:szCs w:val="21"/>
                <w:lang w:val="en-US"/>
              </w:rPr>
            </w:pPr>
            <w:r>
              <w:rPr>
                <w:rFonts w:hint="eastAsia" w:ascii="宋体" w:hAnsi="宋体" w:cs="宋体"/>
                <w:kern w:val="0"/>
                <w:sz w:val="20"/>
                <w:szCs w:val="21"/>
                <w:lang w:val="en-US" w:eastAsia="zh-CN"/>
              </w:rPr>
              <w:t>物业服务</w:t>
            </w:r>
          </w:p>
        </w:tc>
        <w:tc>
          <w:tcPr>
            <w:tcW w:w="127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Calibri" w:hAnsi="Calibri"/>
                <w:sz w:val="20"/>
                <w:szCs w:val="21"/>
              </w:rPr>
            </w:pPr>
            <w:r>
              <w:rPr>
                <w:rFonts w:hint="eastAsia" w:ascii="Calibri" w:hAnsi="Calibri"/>
                <w:sz w:val="20"/>
                <w:szCs w:val="21"/>
              </w:rPr>
              <w:t>项</w:t>
            </w:r>
          </w:p>
        </w:tc>
        <w:tc>
          <w:tcPr>
            <w:tcW w:w="127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Calibri" w:hAnsi="Calibri"/>
                <w:sz w:val="20"/>
                <w:szCs w:val="21"/>
              </w:rPr>
            </w:pPr>
            <w:r>
              <w:rPr>
                <w:rFonts w:hint="eastAsia" w:ascii="Calibri" w:hAnsi="Calibri"/>
                <w:sz w:val="20"/>
                <w:szCs w:val="21"/>
              </w:rPr>
              <w:t>1</w:t>
            </w:r>
          </w:p>
        </w:tc>
        <w:tc>
          <w:tcPr>
            <w:tcW w:w="1273"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Calibri" w:hAnsi="Calibri"/>
                <w:sz w:val="20"/>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center"/>
              <w:rPr>
                <w:rFonts w:ascii="宋体" w:hAnsi="宋体" w:cs="宋体"/>
                <w:b/>
                <w:kern w:val="0"/>
                <w:sz w:val="20"/>
                <w:szCs w:val="21"/>
              </w:rPr>
            </w:pPr>
          </w:p>
        </w:tc>
        <w:tc>
          <w:tcPr>
            <w:tcW w:w="132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hint="eastAsia" w:ascii="宋体" w:hAnsi="宋体" w:eastAsia="宋体" w:cs="宋体"/>
                <w:b/>
                <w:kern w:val="0"/>
                <w:sz w:val="20"/>
                <w:szCs w:val="21"/>
                <w:lang w:eastAsia="zh-CN"/>
              </w:rPr>
            </w:pPr>
            <w:r>
              <w:rPr>
                <w:rFonts w:hint="eastAsia" w:ascii="宋体" w:hAnsi="宋体" w:cs="宋体"/>
                <w:kern w:val="0"/>
                <w:sz w:val="20"/>
                <w:szCs w:val="21"/>
              </w:rPr>
              <w:t>见附表</w:t>
            </w:r>
            <w:r>
              <w:rPr>
                <w:rFonts w:hint="eastAsia" w:ascii="宋体" w:hAnsi="宋体" w:cs="宋体"/>
                <w:kern w:val="0"/>
                <w:sz w:val="20"/>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blHeader/>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center"/>
              <w:rPr>
                <w:rFonts w:hint="eastAsia" w:ascii="宋体" w:hAnsi="宋体" w:cs="宋体"/>
                <w:kern w:val="0"/>
                <w:sz w:val="20"/>
                <w:szCs w:val="21"/>
                <w:lang w:val="en-US" w:eastAsia="zh-CN"/>
              </w:rPr>
            </w:pPr>
            <w:r>
              <w:rPr>
                <w:rFonts w:hint="eastAsia" w:ascii="宋体" w:hAnsi="宋体" w:cs="宋体"/>
                <w:kern w:val="0"/>
                <w:sz w:val="20"/>
                <w:szCs w:val="21"/>
                <w:lang w:val="en-US" w:eastAsia="zh-CN"/>
              </w:rPr>
              <w:t>2</w:t>
            </w:r>
          </w:p>
        </w:tc>
        <w:tc>
          <w:tcPr>
            <w:tcW w:w="2297"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left"/>
              <w:rPr>
                <w:rFonts w:hint="eastAsia" w:ascii="宋体" w:hAnsi="宋体" w:eastAsia="宋体" w:cs="宋体"/>
                <w:kern w:val="0"/>
                <w:sz w:val="20"/>
                <w:szCs w:val="21"/>
                <w:lang w:val="en-US" w:eastAsia="zh-CN"/>
              </w:rPr>
            </w:pPr>
            <w:r>
              <w:rPr>
                <w:rFonts w:hint="eastAsia" w:ascii="宋体" w:hAnsi="宋体" w:cs="宋体"/>
                <w:kern w:val="0"/>
                <w:sz w:val="20"/>
                <w:szCs w:val="21"/>
                <w:lang w:val="en-US" w:eastAsia="zh-CN"/>
              </w:rPr>
              <w:t>暂列金额</w:t>
            </w:r>
          </w:p>
        </w:tc>
        <w:tc>
          <w:tcPr>
            <w:tcW w:w="127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Calibri" w:hAnsi="Calibri"/>
                <w:sz w:val="20"/>
                <w:szCs w:val="21"/>
              </w:rPr>
            </w:pPr>
            <w:r>
              <w:rPr>
                <w:rFonts w:hint="eastAsia" w:ascii="Calibri" w:hAnsi="Calibri"/>
                <w:sz w:val="20"/>
                <w:szCs w:val="21"/>
              </w:rPr>
              <w:t>项</w:t>
            </w:r>
          </w:p>
        </w:tc>
        <w:tc>
          <w:tcPr>
            <w:tcW w:w="127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hint="eastAsia" w:ascii="Calibri" w:hAnsi="Calibri" w:eastAsia="宋体"/>
                <w:sz w:val="20"/>
                <w:szCs w:val="21"/>
                <w:lang w:val="en-US" w:eastAsia="zh-CN"/>
              </w:rPr>
            </w:pPr>
            <w:r>
              <w:rPr>
                <w:rFonts w:hint="eastAsia" w:ascii="Calibri" w:hAnsi="Calibri"/>
                <w:sz w:val="20"/>
                <w:szCs w:val="21"/>
                <w:lang w:val="en-US" w:eastAsia="zh-CN"/>
              </w:rPr>
              <w:t>1</w:t>
            </w:r>
          </w:p>
        </w:tc>
        <w:tc>
          <w:tcPr>
            <w:tcW w:w="1273"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hint="eastAsia" w:ascii="Calibri" w:hAnsi="Calibri" w:eastAsia="宋体"/>
                <w:sz w:val="20"/>
                <w:szCs w:val="21"/>
                <w:lang w:val="en-US" w:eastAsia="zh-CN"/>
              </w:rPr>
            </w:pPr>
            <w:r>
              <w:rPr>
                <w:rFonts w:hint="eastAsia" w:ascii="Calibri" w:hAnsi="Calibri"/>
                <w:sz w:val="20"/>
                <w:szCs w:val="21"/>
                <w:lang w:val="en-US" w:eastAsia="zh-CN"/>
              </w:rPr>
              <w:t>700000.00</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center"/>
              <w:rPr>
                <w:rFonts w:hint="eastAsia" w:ascii="宋体" w:hAnsi="宋体" w:eastAsia="宋体" w:cs="宋体"/>
                <w:kern w:val="0"/>
                <w:sz w:val="20"/>
                <w:szCs w:val="21"/>
                <w:lang w:val="en-US" w:eastAsia="zh-CN"/>
              </w:rPr>
            </w:pPr>
            <w:r>
              <w:rPr>
                <w:rFonts w:hint="eastAsia" w:ascii="宋体" w:hAnsi="宋体" w:cs="宋体"/>
                <w:kern w:val="0"/>
                <w:sz w:val="20"/>
                <w:szCs w:val="21"/>
                <w:lang w:val="en-US" w:eastAsia="zh-CN"/>
              </w:rPr>
              <w:t>700000.00</w:t>
            </w:r>
          </w:p>
        </w:tc>
        <w:tc>
          <w:tcPr>
            <w:tcW w:w="132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宋体" w:hAnsi="宋体" w:cs="宋体"/>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blHeader/>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center"/>
              <w:rPr>
                <w:rFonts w:hint="eastAsia" w:ascii="宋体" w:hAnsi="宋体" w:eastAsia="宋体" w:cs="宋体"/>
                <w:kern w:val="0"/>
                <w:sz w:val="20"/>
                <w:szCs w:val="21"/>
                <w:lang w:eastAsia="zh-CN"/>
              </w:rPr>
            </w:pPr>
            <w:r>
              <w:rPr>
                <w:rFonts w:hint="eastAsia" w:ascii="宋体" w:hAnsi="宋体" w:cs="宋体"/>
                <w:kern w:val="0"/>
                <w:sz w:val="20"/>
                <w:szCs w:val="21"/>
                <w:lang w:val="en-US" w:eastAsia="zh-CN"/>
              </w:rPr>
              <w:t>3</w:t>
            </w:r>
          </w:p>
        </w:tc>
        <w:tc>
          <w:tcPr>
            <w:tcW w:w="2297"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left"/>
              <w:rPr>
                <w:rFonts w:ascii="宋体" w:hAnsi="宋体" w:cs="宋体"/>
                <w:kern w:val="0"/>
                <w:sz w:val="20"/>
                <w:szCs w:val="21"/>
              </w:rPr>
            </w:pPr>
            <w:r>
              <w:rPr>
                <w:rFonts w:hint="eastAsia" w:ascii="宋体" w:hAnsi="宋体" w:cs="宋体"/>
                <w:kern w:val="0"/>
                <w:sz w:val="20"/>
                <w:szCs w:val="21"/>
              </w:rPr>
              <w:t>投标总报价（1+2</w:t>
            </w:r>
            <w:r>
              <w:rPr>
                <w:rFonts w:hint="eastAsia" w:ascii="宋体" w:hAnsi="宋体" w:cs="宋体"/>
                <w:kern w:val="0"/>
                <w:sz w:val="20"/>
                <w:szCs w:val="21"/>
                <w:lang w:val="en-US" w:eastAsia="zh-CN"/>
              </w:rPr>
              <w:t>+3</w:t>
            </w:r>
            <w:r>
              <w:rPr>
                <w:rFonts w:hint="eastAsia" w:ascii="宋体" w:hAnsi="宋体" w:cs="宋体"/>
                <w:kern w:val="0"/>
                <w:sz w:val="20"/>
                <w:szCs w:val="21"/>
              </w:rPr>
              <w:t>）</w:t>
            </w:r>
          </w:p>
        </w:tc>
        <w:tc>
          <w:tcPr>
            <w:tcW w:w="127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Calibri" w:hAnsi="Calibri"/>
                <w:sz w:val="20"/>
                <w:szCs w:val="21"/>
              </w:rPr>
            </w:pPr>
          </w:p>
        </w:tc>
        <w:tc>
          <w:tcPr>
            <w:tcW w:w="127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Calibri" w:hAnsi="Calibri"/>
                <w:sz w:val="20"/>
                <w:szCs w:val="21"/>
              </w:rPr>
            </w:pPr>
          </w:p>
        </w:tc>
        <w:tc>
          <w:tcPr>
            <w:tcW w:w="1273"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Calibri" w:hAnsi="Calibri"/>
                <w:sz w:val="20"/>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center"/>
              <w:rPr>
                <w:rFonts w:ascii="宋体" w:hAnsi="宋体" w:cs="宋体"/>
                <w:kern w:val="0"/>
                <w:sz w:val="20"/>
                <w:szCs w:val="21"/>
              </w:rPr>
            </w:pPr>
          </w:p>
        </w:tc>
        <w:tc>
          <w:tcPr>
            <w:tcW w:w="132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宋体" w:hAnsi="宋体" w:cs="宋体"/>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center"/>
              <w:rPr>
                <w:rFonts w:hint="eastAsia" w:ascii="宋体" w:hAnsi="宋体" w:eastAsia="宋体" w:cs="宋体"/>
                <w:kern w:val="0"/>
                <w:sz w:val="20"/>
                <w:szCs w:val="21"/>
                <w:lang w:eastAsia="zh-CN"/>
              </w:rPr>
            </w:pPr>
            <w:r>
              <w:rPr>
                <w:rFonts w:hint="eastAsia" w:ascii="宋体" w:hAnsi="宋体" w:cs="宋体"/>
                <w:kern w:val="0"/>
                <w:sz w:val="20"/>
                <w:szCs w:val="21"/>
                <w:lang w:val="en-US" w:eastAsia="zh-CN"/>
              </w:rPr>
              <w:t>4.1</w:t>
            </w:r>
          </w:p>
        </w:tc>
        <w:tc>
          <w:tcPr>
            <w:tcW w:w="2297" w:type="dxa"/>
            <w:tcBorders>
              <w:top w:val="single" w:color="auto" w:sz="4" w:space="0"/>
              <w:left w:val="single" w:color="auto" w:sz="4" w:space="0"/>
              <w:bottom w:val="single" w:color="auto" w:sz="4" w:space="0"/>
              <w:right w:val="single" w:color="auto" w:sz="4" w:space="0"/>
            </w:tcBorders>
            <w:vAlign w:val="center"/>
          </w:tcPr>
          <w:p>
            <w:pPr>
              <w:spacing w:before="0" w:beforeLines="0" w:after="0" w:afterLines="0" w:line="240" w:lineRule="exact"/>
              <w:jc w:val="left"/>
              <w:rPr>
                <w:rFonts w:ascii="宋体" w:hAnsi="宋体" w:cs="宋体"/>
                <w:sz w:val="20"/>
                <w:szCs w:val="21"/>
              </w:rPr>
            </w:pPr>
            <w:r>
              <w:rPr>
                <w:rFonts w:hint="eastAsia" w:ascii="宋体" w:hAnsi="宋体" w:cs="宋体"/>
                <w:kern w:val="0"/>
                <w:sz w:val="20"/>
                <w:szCs w:val="21"/>
              </w:rPr>
              <w:t>其中，增值税</w:t>
            </w:r>
          </w:p>
        </w:tc>
        <w:tc>
          <w:tcPr>
            <w:tcW w:w="5036" w:type="dxa"/>
            <w:gridSpan w:val="4"/>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宋体" w:hAnsi="宋体" w:cs="宋体"/>
                <w:kern w:val="0"/>
                <w:sz w:val="20"/>
                <w:szCs w:val="21"/>
              </w:rPr>
            </w:pPr>
            <w:r>
              <w:rPr>
                <w:rFonts w:hint="eastAsia" w:ascii="宋体" w:hAnsi="宋体" w:cs="宋体"/>
                <w:kern w:val="0"/>
                <w:sz w:val="20"/>
                <w:szCs w:val="21"/>
              </w:rPr>
              <w:t>税率</w:t>
            </w:r>
            <w:r>
              <w:rPr>
                <w:rFonts w:hint="eastAsia" w:ascii="宋体" w:hAnsi="宋体" w:cs="宋体"/>
                <w:kern w:val="0"/>
                <w:sz w:val="20"/>
                <w:szCs w:val="21"/>
                <w:u w:val="single"/>
              </w:rPr>
              <w:t xml:space="preserve">   %</w:t>
            </w:r>
          </w:p>
        </w:tc>
        <w:tc>
          <w:tcPr>
            <w:tcW w:w="1324" w:type="dxa"/>
            <w:tcBorders>
              <w:top w:val="single" w:color="auto" w:sz="4" w:space="0"/>
              <w:left w:val="nil"/>
              <w:bottom w:val="single" w:color="auto" w:sz="4" w:space="0"/>
              <w:right w:val="single" w:color="auto" w:sz="4" w:space="0"/>
            </w:tcBorders>
            <w:vAlign w:val="center"/>
          </w:tcPr>
          <w:p>
            <w:pPr>
              <w:spacing w:before="0" w:beforeLines="0" w:after="0" w:afterLines="0" w:line="240" w:lineRule="exact"/>
              <w:jc w:val="center"/>
              <w:rPr>
                <w:rFonts w:ascii="宋体" w:hAnsi="宋体" w:cs="宋体"/>
                <w:kern w:val="0"/>
                <w:sz w:val="20"/>
                <w:szCs w:val="21"/>
              </w:rPr>
            </w:pPr>
            <w:r>
              <w:rPr>
                <w:rFonts w:hint="eastAsia" w:ascii="宋体" w:hAnsi="宋体" w:cs="宋体"/>
                <w:kern w:val="0"/>
                <w:sz w:val="20"/>
                <w:szCs w:val="21"/>
              </w:rPr>
              <w:t>投标人注明税率</w:t>
            </w:r>
          </w:p>
        </w:tc>
      </w:tr>
    </w:tbl>
    <w:p>
      <w:pPr>
        <w:spacing w:before="0" w:after="0" w:line="460" w:lineRule="auto"/>
        <w:rPr>
          <w:rFonts w:ascii="宋体" w:hAnsi="宋体" w:cs="宋体"/>
          <w:sz w:val="24"/>
          <w:szCs w:val="24"/>
        </w:rPr>
      </w:pPr>
    </w:p>
    <w:p>
      <w:pPr>
        <w:spacing w:before="0" w:after="0" w:line="460" w:lineRule="auto"/>
        <w:rPr>
          <w:rFonts w:ascii="宋体" w:hAnsi="宋体" w:cs="宋体"/>
          <w:sz w:val="24"/>
          <w:szCs w:val="24"/>
        </w:rPr>
      </w:pPr>
    </w:p>
    <w:p>
      <w:pPr>
        <w:spacing w:before="0" w:after="0" w:line="320" w:lineRule="auto"/>
        <w:ind w:firstLine="4320" w:firstLineChars="180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（单位名称）</w:t>
      </w:r>
      <w:r>
        <w:rPr>
          <w:rFonts w:hint="eastAsia" w:ascii="宋体" w:hAnsi="宋体" w:cs="宋体"/>
          <w:sz w:val="24"/>
          <w:szCs w:val="24"/>
        </w:rPr>
        <w:t>（盖单位公章）</w:t>
      </w:r>
    </w:p>
    <w:p>
      <w:pPr>
        <w:spacing w:before="0" w:after="0" w:line="320" w:lineRule="auto"/>
        <w:ind w:firstLine="4320" w:firstLineChars="1800"/>
        <w:rPr>
          <w:rFonts w:ascii="宋体" w:hAnsi="宋体" w:cs="宋体"/>
          <w:sz w:val="24"/>
          <w:szCs w:val="24"/>
        </w:rPr>
      </w:pPr>
      <w:r>
        <w:rPr>
          <w:rFonts w:hint="eastAsia" w:ascii="宋体" w:hAnsi="宋体" w:cs="宋体"/>
          <w:sz w:val="24"/>
          <w:szCs w:val="24"/>
        </w:rPr>
        <w:t>法定代表人（或委托代理人）：（签名）</w:t>
      </w:r>
    </w:p>
    <w:p>
      <w:pPr>
        <w:tabs>
          <w:tab w:val="left" w:pos="1204"/>
          <w:tab w:val="left" w:pos="7800"/>
        </w:tabs>
        <w:spacing w:before="0" w:after="0" w:line="320" w:lineRule="auto"/>
        <w:rPr>
          <w:rFonts w:ascii="宋体" w:hAnsi="宋体" w:cs="宋体"/>
          <w:sz w:val="24"/>
          <w:szCs w:val="24"/>
        </w:rPr>
      </w:pPr>
      <w:r>
        <w:rPr>
          <w:rFonts w:hint="eastAsia" w:ascii="宋体" w:hAnsi="宋体" w:cs="宋体"/>
          <w:sz w:val="24"/>
          <w:szCs w:val="24"/>
        </w:rPr>
        <w:t xml:space="preserve">                                    日   期：     年   月    日</w:t>
      </w: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napToGrid w:val="0"/>
        <w:spacing w:after="0" w:line="240" w:lineRule="atLeast"/>
        <w:outlineLvl w:val="2"/>
        <w:rPr>
          <w:rFonts w:ascii="宋体" w:hAnsi="宋体" w:eastAsia="宋体" w:cs="宋体"/>
          <w:b/>
          <w:sz w:val="24"/>
          <w:szCs w:val="24"/>
        </w:rPr>
      </w:pPr>
    </w:p>
    <w:p>
      <w:pPr>
        <w:pStyle w:val="14"/>
        <w:spacing w:before="0" w:after="0" w:line="240" w:lineRule="exact"/>
        <w:rPr>
          <w:rFonts w:ascii="宋体" w:hAnsi="宋体" w:eastAsia="宋体" w:cs="宋体"/>
          <w:sz w:val="24"/>
          <w:szCs w:val="24"/>
        </w:rPr>
      </w:pPr>
    </w:p>
    <w:p>
      <w:pPr>
        <w:pStyle w:val="14"/>
        <w:spacing w:before="0" w:after="0" w:line="240" w:lineRule="exact"/>
        <w:rPr>
          <w:rFonts w:ascii="宋体" w:hAnsi="宋体" w:eastAsia="宋体" w:cs="宋体"/>
          <w:sz w:val="24"/>
          <w:szCs w:val="24"/>
        </w:rPr>
      </w:pPr>
    </w:p>
    <w:p>
      <w:pPr>
        <w:pStyle w:val="14"/>
        <w:spacing w:before="0" w:after="0" w:line="240" w:lineRule="exact"/>
        <w:rPr>
          <w:rFonts w:hint="eastAsia"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pPr>
        <w:pStyle w:val="14"/>
        <w:spacing w:before="0" w:after="0" w:line="240" w:lineRule="exact"/>
        <w:rPr>
          <w:rFonts w:hint="eastAsia" w:ascii="宋体" w:hAnsi="宋体" w:eastAsia="宋体" w:cs="宋体"/>
          <w:sz w:val="24"/>
          <w:szCs w:val="24"/>
        </w:rPr>
      </w:pPr>
    </w:p>
    <w:p>
      <w:pPr>
        <w:pStyle w:val="14"/>
        <w:spacing w:before="0" w:after="0" w:line="240" w:lineRule="exact"/>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物业服务报价表</w:t>
      </w:r>
    </w:p>
    <w:tbl>
      <w:tblPr>
        <w:tblStyle w:val="33"/>
        <w:tblW w:w="9318"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53"/>
        <w:gridCol w:w="1553"/>
        <w:gridCol w:w="1553"/>
        <w:gridCol w:w="1553"/>
        <w:gridCol w:w="1553"/>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trPr>
        <w:tc>
          <w:tcPr>
            <w:tcW w:w="1553" w:type="dxa"/>
            <w:vMerge w:val="restart"/>
            <w:tcBorders>
              <w:top w:val="single" w:color="auto" w:sz="4" w:space="0"/>
              <w:left w:val="single" w:color="auto" w:sz="4" w:space="0"/>
              <w:bottom w:val="nil"/>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序号</w:t>
            </w:r>
          </w:p>
        </w:tc>
        <w:tc>
          <w:tcPr>
            <w:tcW w:w="1553" w:type="dxa"/>
            <w:vMerge w:val="restart"/>
            <w:tcBorders>
              <w:top w:val="single" w:color="auto" w:sz="4" w:space="0"/>
              <w:left w:val="single" w:color="auto" w:sz="4" w:space="0"/>
              <w:bottom w:val="nil"/>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项目</w:t>
            </w:r>
          </w:p>
        </w:tc>
        <w:tc>
          <w:tcPr>
            <w:tcW w:w="1553" w:type="dxa"/>
            <w:vMerge w:val="restart"/>
            <w:tcBorders>
              <w:top w:val="single" w:color="auto" w:sz="4" w:space="0"/>
              <w:left w:val="single" w:color="auto" w:sz="4" w:space="0"/>
              <w:bottom w:val="nil"/>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岗位人员数量（名）</w:t>
            </w:r>
          </w:p>
        </w:tc>
        <w:tc>
          <w:tcPr>
            <w:tcW w:w="1553" w:type="dxa"/>
            <w:vMerge w:val="restart"/>
            <w:tcBorders>
              <w:top w:val="single" w:color="auto" w:sz="4" w:space="0"/>
              <w:left w:val="single" w:color="auto" w:sz="4" w:space="0"/>
              <w:bottom w:val="nil"/>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人月数</w:t>
            </w:r>
          </w:p>
        </w:tc>
        <w:tc>
          <w:tcPr>
            <w:tcW w:w="1553" w:type="dxa"/>
            <w:tcBorders>
              <w:top w:val="single" w:color="auto" w:sz="4" w:space="0"/>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b/>
                <w:bCs/>
                <w:i w:val="0"/>
                <w:color w:val="000000"/>
                <w:kern w:val="0"/>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SA"/>
              </w:rPr>
              <w:t>人月费用</w:t>
            </w:r>
          </w:p>
          <w:p>
            <w:pPr>
              <w:widowControl/>
              <w:spacing w:before="0" w:beforeLines="0" w:after="0" w:afterLines="0"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（元/人•月）</w:t>
            </w:r>
          </w:p>
        </w:tc>
        <w:tc>
          <w:tcPr>
            <w:tcW w:w="1553" w:type="dxa"/>
            <w:vMerge w:val="restart"/>
            <w:tcBorders>
              <w:top w:val="single" w:color="auto" w:sz="4" w:space="0"/>
              <w:left w:val="single" w:color="auto" w:sz="4" w:space="0"/>
              <w:bottom w:val="nil"/>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人员费用</w:t>
            </w:r>
          </w:p>
        </w:tc>
        <w:tc>
          <w:tcPr>
            <w:tcW w:w="155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w:t>
            </w:r>
          </w:p>
        </w:tc>
        <w:tc>
          <w:tcPr>
            <w:tcW w:w="1553" w:type="dxa"/>
            <w:tcBorders>
              <w:top w:val="single" w:color="auto" w:sz="4" w:space="0"/>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项目经理</w:t>
            </w:r>
          </w:p>
        </w:tc>
        <w:tc>
          <w:tcPr>
            <w:tcW w:w="1553" w:type="dxa"/>
            <w:tcBorders>
              <w:top w:val="single" w:color="auto" w:sz="4" w:space="0"/>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single" w:color="auto" w:sz="4" w:space="0"/>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single" w:color="auto" w:sz="4" w:space="0"/>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single" w:color="auto" w:sz="4" w:space="0"/>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项目助理</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SA"/>
              </w:rPr>
              <w:t>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1.3</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行政内勤</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1.4</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客服主管</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1.5</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客服专员</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6</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72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1.6</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图书管理员</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1.7</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安保主管</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1.8</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安保员</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SA"/>
              </w:rPr>
              <w:t>19</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SA"/>
              </w:rPr>
              <w:t>228</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1.9</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工程主管</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修理工</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24</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1.11</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保洁主管</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1.12</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保洁员</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r>
              <w:rPr>
                <w:rFonts w:hint="eastAsia" w:ascii="宋体" w:hAnsi="宋体" w:cs="宋体"/>
                <w:i w:val="0"/>
                <w:color w:val="000000"/>
                <w:kern w:val="0"/>
                <w:sz w:val="21"/>
                <w:szCs w:val="21"/>
                <w:u w:val="none"/>
                <w:lang w:val="en-US" w:eastAsia="zh-CN" w:bidi="ar-SA"/>
              </w:rPr>
              <w:t>8</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SA"/>
              </w:rPr>
              <w:t>216</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1.13</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绿化主管</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1.14</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绿化工</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24</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1.15</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采购主管</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1.16</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厨师长</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1.17</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红案厨师</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24</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1.18</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白案厨师</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SA"/>
              </w:rPr>
              <w:t>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SA"/>
              </w:rPr>
              <w:t>24</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1.19</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墩    子</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厨师助工</w:t>
            </w:r>
          </w:p>
        </w:tc>
        <w:tc>
          <w:tcPr>
            <w:tcW w:w="1553"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SA"/>
              </w:rPr>
              <w:t>3</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SA"/>
              </w:rPr>
              <w:t>36</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5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SA"/>
              </w:rPr>
              <w:t>2</w:t>
            </w:r>
          </w:p>
        </w:tc>
        <w:tc>
          <w:tcPr>
            <w:tcW w:w="6212" w:type="dxa"/>
            <w:gridSpan w:val="4"/>
            <w:tcBorders>
              <w:top w:val="single" w:color="auto" w:sz="4" w:space="0"/>
              <w:left w:val="nil"/>
              <w:bottom w:val="single" w:color="auto" w:sz="4" w:space="0"/>
              <w:right w:val="single" w:color="000000"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合计</w:t>
            </w:r>
          </w:p>
        </w:tc>
        <w:tc>
          <w:tcPr>
            <w:tcW w:w="1553" w:type="dxa"/>
            <w:tcBorders>
              <w:top w:val="nil"/>
              <w:left w:val="nil"/>
              <w:bottom w:val="single" w:color="auto" w:sz="4" w:space="0"/>
              <w:right w:val="single" w:color="auto" w:sz="4" w:space="0"/>
            </w:tcBorders>
            <w:tcMar>
              <w:top w:w="10" w:type="dxa"/>
              <w:left w:w="10" w:type="dxa"/>
              <w:right w:w="10" w:type="dxa"/>
            </w:tcMar>
            <w:vAlign w:val="center"/>
          </w:tcPr>
          <w:p>
            <w:pPr>
              <w:widowControl/>
              <w:spacing w:before="0" w:beforeLines="0" w:after="0" w:afterLines="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　</w:t>
            </w:r>
          </w:p>
        </w:tc>
      </w:tr>
    </w:tbl>
    <w:p>
      <w:pPr>
        <w:pStyle w:val="14"/>
        <w:spacing w:before="0" w:after="0" w:line="240" w:lineRule="exact"/>
        <w:rPr>
          <w:rFonts w:ascii="宋体" w:hAnsi="宋体" w:eastAsia="宋体" w:cs="宋体"/>
          <w:sz w:val="21"/>
          <w:szCs w:val="21"/>
        </w:rPr>
      </w:pPr>
      <w:r>
        <w:rPr>
          <w:rFonts w:hint="eastAsia" w:ascii="宋体" w:hAnsi="宋体" w:eastAsia="宋体" w:cs="宋体"/>
          <w:color w:val="000000"/>
          <w:sz w:val="21"/>
          <w:szCs w:val="21"/>
        </w:rPr>
        <w:t>说明：</w:t>
      </w:r>
    </w:p>
    <w:p>
      <w:pPr>
        <w:spacing w:before="0" w:after="0" w:line="240" w:lineRule="exact"/>
        <w:rPr>
          <w:rFonts w:ascii="宋体" w:hAnsi="宋体" w:cs="宋体"/>
          <w:color w:val="000000"/>
          <w:kern w:val="0"/>
          <w:sz w:val="21"/>
          <w:szCs w:val="21"/>
        </w:rPr>
      </w:pPr>
      <w:r>
        <w:rPr>
          <w:rFonts w:hint="eastAsia" w:ascii="宋体" w:hAnsi="宋体" w:cs="宋体"/>
          <w:color w:val="000000"/>
          <w:kern w:val="0"/>
          <w:sz w:val="21"/>
          <w:szCs w:val="21"/>
        </w:rPr>
        <w:t xml:space="preserve">  </w:t>
      </w:r>
      <w:r>
        <w:rPr>
          <w:rFonts w:ascii="宋体" w:hAnsi="宋体" w:cs="宋体"/>
          <w:color w:val="000000"/>
          <w:kern w:val="0"/>
          <w:sz w:val="21"/>
          <w:szCs w:val="21"/>
        </w:rPr>
        <w:t xml:space="preserve">  1.</w:t>
      </w:r>
      <w:r>
        <w:rPr>
          <w:rFonts w:hint="eastAsia" w:ascii="宋体" w:hAnsi="宋体" w:cs="宋体"/>
          <w:color w:val="000000"/>
          <w:kern w:val="0"/>
          <w:sz w:val="21"/>
          <w:szCs w:val="21"/>
        </w:rPr>
        <w:t>人员费用为综合单价，包含工资、五险一金、福利、劳动保护、工装、管理费、利润、税金及人工工资上涨风险等所有费用。</w:t>
      </w:r>
    </w:p>
    <w:p>
      <w:pPr>
        <w:spacing w:before="0" w:after="0" w:line="240" w:lineRule="exact"/>
        <w:rPr>
          <w:rFonts w:ascii="宋体" w:hAnsi="宋体" w:cs="宋体"/>
          <w:color w:val="000000"/>
          <w:kern w:val="0"/>
          <w:sz w:val="21"/>
          <w:szCs w:val="21"/>
        </w:rPr>
      </w:pPr>
      <w:r>
        <w:rPr>
          <w:rFonts w:ascii="宋体" w:hAnsi="宋体" w:cs="宋体"/>
          <w:color w:val="000000"/>
          <w:kern w:val="0"/>
          <w:sz w:val="21"/>
          <w:szCs w:val="21"/>
        </w:rPr>
        <w:t xml:space="preserve">    2.投标人若需说明岗位人员费用构成明细，可单独附分项清单。</w:t>
      </w:r>
    </w:p>
    <w:p>
      <w:pPr>
        <w:spacing w:before="0" w:after="0" w:line="320" w:lineRule="auto"/>
        <w:ind w:firstLine="960" w:firstLineChars="400"/>
        <w:rPr>
          <w:rFonts w:ascii="宋体" w:hAnsi="宋体" w:cs="宋体"/>
          <w:color w:val="000000"/>
          <w:kern w:val="0"/>
          <w:sz w:val="24"/>
          <w:szCs w:val="21"/>
        </w:rPr>
      </w:pPr>
    </w:p>
    <w:p>
      <w:pPr>
        <w:spacing w:before="0" w:after="0" w:line="320" w:lineRule="auto"/>
        <w:ind w:firstLine="960" w:firstLineChars="400"/>
        <w:rPr>
          <w:rFonts w:ascii="宋体" w:hAnsi="宋体" w:cs="宋体"/>
          <w:color w:val="000000"/>
          <w:kern w:val="0"/>
          <w:sz w:val="24"/>
          <w:szCs w:val="21"/>
        </w:rPr>
      </w:pPr>
    </w:p>
    <w:p>
      <w:pPr>
        <w:spacing w:before="0" w:after="0" w:line="320" w:lineRule="auto"/>
        <w:ind w:firstLine="4320" w:firstLineChars="180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（单位名称）</w:t>
      </w:r>
      <w:r>
        <w:rPr>
          <w:rFonts w:hint="eastAsia" w:ascii="宋体" w:hAnsi="宋体" w:cs="宋体"/>
          <w:sz w:val="24"/>
          <w:szCs w:val="24"/>
        </w:rPr>
        <w:t>（盖单位公章）</w:t>
      </w:r>
    </w:p>
    <w:p>
      <w:pPr>
        <w:spacing w:before="0" w:after="0" w:line="320" w:lineRule="auto"/>
        <w:ind w:firstLine="4320" w:firstLineChars="1800"/>
        <w:rPr>
          <w:rFonts w:ascii="宋体" w:hAnsi="宋体" w:cs="宋体"/>
          <w:sz w:val="24"/>
          <w:szCs w:val="24"/>
        </w:rPr>
      </w:pPr>
      <w:r>
        <w:rPr>
          <w:rFonts w:hint="eastAsia" w:ascii="宋体" w:hAnsi="宋体" w:cs="宋体"/>
          <w:sz w:val="24"/>
          <w:szCs w:val="24"/>
        </w:rPr>
        <w:t>法定代表人（或委托代理人）：（签名）</w:t>
      </w:r>
    </w:p>
    <w:p>
      <w:pPr>
        <w:tabs>
          <w:tab w:val="left" w:pos="1204"/>
          <w:tab w:val="left" w:pos="7800"/>
        </w:tabs>
        <w:spacing w:before="0" w:after="0" w:line="320" w:lineRule="auto"/>
        <w:rPr>
          <w:rFonts w:ascii="宋体" w:hAnsi="宋体" w:cs="宋体"/>
          <w:sz w:val="24"/>
          <w:szCs w:val="24"/>
        </w:rPr>
      </w:pPr>
      <w:r>
        <w:rPr>
          <w:rFonts w:hint="eastAsia" w:ascii="宋体" w:hAnsi="宋体" w:cs="宋体"/>
          <w:sz w:val="24"/>
          <w:szCs w:val="24"/>
        </w:rPr>
        <w:t xml:space="preserve">                                    日   期：     年   月    日</w:t>
      </w:r>
    </w:p>
    <w:bookmarkEnd w:id="266"/>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sz w:val="24"/>
          <w:szCs w:val="24"/>
        </w:rPr>
      </w:pPr>
      <w:r>
        <w:rPr>
          <w:rFonts w:hint="eastAsia" w:ascii="宋体" w:hAnsi="宋体" w:cs="宋体"/>
          <w:b/>
          <w:bCs/>
          <w:sz w:val="24"/>
          <w:szCs w:val="24"/>
        </w:rPr>
        <w:t>第6节 商务差异表</w:t>
      </w:r>
    </w:p>
    <w:p>
      <w:pPr>
        <w:widowControl w:val="0"/>
        <w:spacing w:before="0" w:after="0" w:line="240" w:lineRule="auto"/>
        <w:rPr>
          <w:rFonts w:ascii="宋体" w:hAnsi="宋体" w:cs="宋体"/>
          <w:sz w:val="24"/>
          <w:szCs w:val="24"/>
        </w:rPr>
      </w:pPr>
      <w:r>
        <w:rPr>
          <w:rFonts w:hint="eastAsia" w:ascii="宋体" w:hAnsi="宋体" w:cs="宋体"/>
          <w:sz w:val="24"/>
          <w:szCs w:val="24"/>
        </w:rPr>
        <w:t xml:space="preserve"> </w:t>
      </w:r>
    </w:p>
    <w:tbl>
      <w:tblPr>
        <w:tblStyle w:val="33"/>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162"/>
        <w:gridCol w:w="1452"/>
        <w:gridCol w:w="2591"/>
        <w:gridCol w:w="1442"/>
        <w:gridCol w:w="2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c>
          <w:tcPr>
            <w:tcW w:w="1162" w:type="dxa"/>
            <w:vMerge w:val="restart"/>
            <w:tcBorders>
              <w:top w:val="single" w:color="000000" w:sz="4" w:space="0"/>
              <w:left w:val="single" w:color="000000" w:sz="4" w:space="0"/>
              <w:right w:val="single" w:color="000000" w:sz="6" w:space="0"/>
            </w:tcBorders>
            <w:vAlign w:val="center"/>
          </w:tcPr>
          <w:p>
            <w:pPr>
              <w:widowControl w:val="0"/>
              <w:adjustRightInd w:val="0"/>
              <w:spacing w:before="0" w:after="0" w:line="500" w:lineRule="atLeast"/>
              <w:ind w:firstLine="240" w:firstLineChars="100"/>
              <w:rPr>
                <w:rFonts w:ascii="宋体" w:hAnsi="宋体" w:cs="宋体"/>
                <w:sz w:val="24"/>
                <w:szCs w:val="24"/>
              </w:rPr>
            </w:pPr>
            <w:r>
              <w:rPr>
                <w:rFonts w:hint="eastAsia" w:ascii="宋体" w:hAnsi="宋体" w:cs="宋体"/>
                <w:sz w:val="24"/>
                <w:szCs w:val="24"/>
              </w:rPr>
              <w:t>序号</w:t>
            </w:r>
          </w:p>
        </w:tc>
        <w:tc>
          <w:tcPr>
            <w:tcW w:w="4043" w:type="dxa"/>
            <w:gridSpan w:val="2"/>
            <w:tcBorders>
              <w:top w:val="single" w:color="000000" w:sz="4" w:space="0"/>
              <w:left w:val="nil"/>
              <w:bottom w:val="single" w:color="000000" w:sz="6" w:space="0"/>
              <w:right w:val="single" w:color="000000" w:sz="6" w:space="0"/>
            </w:tcBorders>
            <w:vAlign w:val="center"/>
          </w:tcPr>
          <w:p>
            <w:pPr>
              <w:widowControl w:val="0"/>
              <w:adjustRightInd w:val="0"/>
              <w:spacing w:before="0" w:after="0" w:line="500" w:lineRule="atLeast"/>
              <w:jc w:val="center"/>
              <w:rPr>
                <w:rFonts w:ascii="宋体" w:hAnsi="宋体" w:cs="宋体"/>
                <w:sz w:val="24"/>
                <w:szCs w:val="24"/>
              </w:rPr>
            </w:pPr>
            <w:r>
              <w:rPr>
                <w:rFonts w:hint="eastAsia" w:ascii="宋体" w:hAnsi="宋体" w:cs="宋体"/>
                <w:sz w:val="24"/>
                <w:szCs w:val="24"/>
              </w:rPr>
              <w:t>招标文件</w:t>
            </w:r>
          </w:p>
        </w:tc>
        <w:tc>
          <w:tcPr>
            <w:tcW w:w="4149" w:type="dxa"/>
            <w:gridSpan w:val="2"/>
            <w:tcBorders>
              <w:top w:val="single" w:color="000000" w:sz="4" w:space="0"/>
              <w:left w:val="nil"/>
              <w:bottom w:val="single" w:color="000000" w:sz="6" w:space="0"/>
              <w:right w:val="single" w:color="000000" w:sz="4" w:space="0"/>
            </w:tcBorders>
            <w:vAlign w:val="center"/>
          </w:tcPr>
          <w:p>
            <w:pPr>
              <w:widowControl w:val="0"/>
              <w:adjustRightInd w:val="0"/>
              <w:spacing w:before="0" w:after="0" w:line="500" w:lineRule="atLeast"/>
              <w:ind w:firstLine="1471" w:firstLineChars="613"/>
              <w:rPr>
                <w:rFonts w:ascii="宋体" w:hAnsi="宋体" w:cs="宋体"/>
                <w:sz w:val="24"/>
                <w:szCs w:val="24"/>
              </w:rPr>
            </w:pPr>
            <w:r>
              <w:rPr>
                <w:rFonts w:hint="eastAsia" w:ascii="宋体" w:hAnsi="宋体" w:cs="宋体"/>
                <w:sz w:val="24"/>
                <w:szCs w:val="24"/>
              </w:rPr>
              <w:t>报价文件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c>
          <w:tcPr>
            <w:tcW w:w="1162" w:type="dxa"/>
            <w:vMerge w:val="continue"/>
            <w:tcBorders>
              <w:top w:val="single" w:color="000000" w:sz="4" w:space="0"/>
              <w:left w:val="single" w:color="000000" w:sz="4" w:space="0"/>
              <w:right w:val="single" w:color="000000" w:sz="6" w:space="0"/>
            </w:tcBorders>
            <w:vAlign w:val="center"/>
          </w:tcPr>
          <w:p>
            <w:pPr>
              <w:spacing w:before="0" w:after="0" w:line="240" w:lineRule="auto"/>
              <w:jc w:val="left"/>
              <w:rPr>
                <w:rFonts w:ascii="宋体" w:hAnsi="宋体" w:cs="宋体"/>
                <w:sz w:val="24"/>
                <w:szCs w:val="24"/>
              </w:rPr>
            </w:pPr>
          </w:p>
        </w:tc>
        <w:tc>
          <w:tcPr>
            <w:tcW w:w="1452" w:type="dxa"/>
            <w:tcBorders>
              <w:top w:val="single" w:color="000000" w:sz="6" w:space="0"/>
              <w:left w:val="nil"/>
              <w:bottom w:val="single" w:color="000000" w:sz="6" w:space="0"/>
              <w:right w:val="single" w:color="000000" w:sz="6" w:space="0"/>
            </w:tcBorders>
            <w:vAlign w:val="center"/>
          </w:tcPr>
          <w:p>
            <w:pPr>
              <w:widowControl w:val="0"/>
              <w:adjustRightInd w:val="0"/>
              <w:spacing w:before="0" w:after="0" w:line="500" w:lineRule="atLeast"/>
              <w:ind w:firstLine="360" w:firstLineChars="150"/>
              <w:rPr>
                <w:rFonts w:ascii="宋体" w:hAnsi="宋体" w:cs="宋体"/>
                <w:sz w:val="24"/>
                <w:szCs w:val="24"/>
              </w:rPr>
            </w:pPr>
            <w:r>
              <w:rPr>
                <w:rFonts w:hint="eastAsia" w:ascii="宋体" w:hAnsi="宋体" w:cs="宋体"/>
                <w:sz w:val="24"/>
                <w:szCs w:val="24"/>
              </w:rPr>
              <w:t>条目</w:t>
            </w:r>
          </w:p>
        </w:tc>
        <w:tc>
          <w:tcPr>
            <w:tcW w:w="2591" w:type="dxa"/>
            <w:tcBorders>
              <w:top w:val="single" w:color="000000" w:sz="6" w:space="0"/>
              <w:left w:val="nil"/>
              <w:bottom w:val="single" w:color="000000" w:sz="6" w:space="0"/>
              <w:right w:val="single" w:color="000000" w:sz="6" w:space="0"/>
            </w:tcBorders>
            <w:vAlign w:val="center"/>
          </w:tcPr>
          <w:p>
            <w:pPr>
              <w:widowControl w:val="0"/>
              <w:adjustRightInd w:val="0"/>
              <w:spacing w:before="0" w:after="0" w:line="500" w:lineRule="atLeast"/>
              <w:ind w:firstLine="751" w:firstLineChars="313"/>
              <w:rPr>
                <w:rFonts w:ascii="宋体" w:hAnsi="宋体" w:cs="宋体"/>
                <w:sz w:val="24"/>
                <w:szCs w:val="24"/>
              </w:rPr>
            </w:pPr>
            <w:r>
              <w:rPr>
                <w:rFonts w:hint="eastAsia" w:ascii="宋体" w:hAnsi="宋体" w:cs="宋体"/>
                <w:sz w:val="24"/>
                <w:szCs w:val="24"/>
              </w:rPr>
              <w:t>简要内容</w:t>
            </w:r>
          </w:p>
        </w:tc>
        <w:tc>
          <w:tcPr>
            <w:tcW w:w="1442" w:type="dxa"/>
            <w:tcBorders>
              <w:top w:val="single" w:color="000000" w:sz="6" w:space="0"/>
              <w:left w:val="nil"/>
              <w:bottom w:val="single" w:color="000000" w:sz="6" w:space="0"/>
              <w:right w:val="single" w:color="000000" w:sz="6" w:space="0"/>
            </w:tcBorders>
            <w:vAlign w:val="center"/>
          </w:tcPr>
          <w:p>
            <w:pPr>
              <w:widowControl w:val="0"/>
              <w:adjustRightInd w:val="0"/>
              <w:spacing w:before="0" w:after="0" w:line="500" w:lineRule="atLeast"/>
              <w:ind w:firstLine="360"/>
              <w:rPr>
                <w:rFonts w:ascii="宋体" w:hAnsi="宋体" w:cs="宋体"/>
                <w:sz w:val="24"/>
                <w:szCs w:val="24"/>
              </w:rPr>
            </w:pPr>
            <w:r>
              <w:rPr>
                <w:rFonts w:hint="eastAsia" w:ascii="宋体" w:hAnsi="宋体" w:cs="宋体"/>
                <w:sz w:val="24"/>
                <w:szCs w:val="24"/>
              </w:rPr>
              <w:t>条目</w:t>
            </w:r>
          </w:p>
        </w:tc>
        <w:tc>
          <w:tcPr>
            <w:tcW w:w="2707" w:type="dxa"/>
            <w:tcBorders>
              <w:top w:val="single" w:color="000000" w:sz="6" w:space="0"/>
              <w:left w:val="nil"/>
              <w:bottom w:val="single" w:color="000000" w:sz="6" w:space="0"/>
              <w:right w:val="single" w:color="000000" w:sz="4" w:space="0"/>
            </w:tcBorders>
            <w:vAlign w:val="center"/>
          </w:tcPr>
          <w:p>
            <w:pPr>
              <w:widowControl w:val="0"/>
              <w:adjustRightInd w:val="0"/>
              <w:spacing w:before="0" w:after="0" w:line="500" w:lineRule="atLeast"/>
              <w:ind w:firstLine="360"/>
              <w:rPr>
                <w:rFonts w:ascii="宋体" w:hAnsi="宋体" w:cs="宋体"/>
                <w:sz w:val="24"/>
                <w:szCs w:val="24"/>
              </w:rPr>
            </w:pPr>
            <w:r>
              <w:rPr>
                <w:rFonts w:hint="eastAsia" w:ascii="宋体" w:hAnsi="宋体" w:cs="宋体"/>
                <w:sz w:val="24"/>
                <w:szCs w:val="24"/>
              </w:rPr>
              <w:t>简要内容及说明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c>
          <w:tcPr>
            <w:tcW w:w="1162" w:type="dxa"/>
            <w:tcBorders>
              <w:top w:val="single" w:color="000000" w:sz="6" w:space="0"/>
              <w:left w:val="single" w:color="000000" w:sz="4" w:space="0"/>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1452" w:type="dxa"/>
            <w:tcBorders>
              <w:top w:val="single" w:color="000000" w:sz="6" w:space="0"/>
              <w:left w:val="nil"/>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2591" w:type="dxa"/>
            <w:tcBorders>
              <w:top w:val="single" w:color="000000" w:sz="6" w:space="0"/>
              <w:left w:val="nil"/>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1442" w:type="dxa"/>
            <w:tcBorders>
              <w:top w:val="single" w:color="000000" w:sz="6" w:space="0"/>
              <w:left w:val="nil"/>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2707" w:type="dxa"/>
            <w:tcBorders>
              <w:top w:val="single" w:color="000000" w:sz="6" w:space="0"/>
              <w:left w:val="nil"/>
              <w:bottom w:val="single" w:color="000000" w:sz="6" w:space="0"/>
              <w:right w:val="single" w:color="000000" w:sz="4" w:space="0"/>
            </w:tcBorders>
            <w:vAlign w:val="top"/>
          </w:tcPr>
          <w:p>
            <w:pPr>
              <w:widowControl w:val="0"/>
              <w:adjustRightInd w:val="0"/>
              <w:spacing w:before="0" w:after="0" w:line="360" w:lineRule="auto"/>
              <w:ind w:firstLine="360"/>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c>
          <w:tcPr>
            <w:tcW w:w="1162" w:type="dxa"/>
            <w:tcBorders>
              <w:top w:val="single" w:color="000000" w:sz="6" w:space="0"/>
              <w:left w:val="single" w:color="000000" w:sz="4" w:space="0"/>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1452" w:type="dxa"/>
            <w:tcBorders>
              <w:top w:val="single" w:color="000000" w:sz="6" w:space="0"/>
              <w:left w:val="nil"/>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2591" w:type="dxa"/>
            <w:tcBorders>
              <w:top w:val="single" w:color="000000" w:sz="6" w:space="0"/>
              <w:left w:val="nil"/>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1442" w:type="dxa"/>
            <w:tcBorders>
              <w:top w:val="single" w:color="000000" w:sz="6" w:space="0"/>
              <w:left w:val="nil"/>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2707" w:type="dxa"/>
            <w:tcBorders>
              <w:top w:val="single" w:color="000000" w:sz="6" w:space="0"/>
              <w:left w:val="nil"/>
              <w:bottom w:val="single" w:color="000000" w:sz="6" w:space="0"/>
              <w:right w:val="single" w:color="000000" w:sz="4" w:space="0"/>
            </w:tcBorders>
            <w:vAlign w:val="top"/>
          </w:tcPr>
          <w:p>
            <w:pPr>
              <w:widowControl w:val="0"/>
              <w:adjustRightInd w:val="0"/>
              <w:spacing w:before="0" w:after="0" w:line="360" w:lineRule="auto"/>
              <w:ind w:firstLine="360"/>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c>
          <w:tcPr>
            <w:tcW w:w="1162" w:type="dxa"/>
            <w:tcBorders>
              <w:top w:val="single" w:color="000000" w:sz="6" w:space="0"/>
              <w:left w:val="single" w:color="000000" w:sz="4" w:space="0"/>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1452" w:type="dxa"/>
            <w:tcBorders>
              <w:top w:val="single" w:color="000000" w:sz="6" w:space="0"/>
              <w:left w:val="nil"/>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2591" w:type="dxa"/>
            <w:tcBorders>
              <w:top w:val="single" w:color="000000" w:sz="6" w:space="0"/>
              <w:left w:val="nil"/>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1442" w:type="dxa"/>
            <w:tcBorders>
              <w:top w:val="single" w:color="000000" w:sz="6" w:space="0"/>
              <w:left w:val="nil"/>
              <w:bottom w:val="single" w:color="000000" w:sz="6" w:space="0"/>
              <w:right w:val="single" w:color="000000" w:sz="6" w:space="0"/>
            </w:tcBorders>
            <w:vAlign w:val="top"/>
          </w:tcPr>
          <w:p>
            <w:pPr>
              <w:widowControl w:val="0"/>
              <w:adjustRightInd w:val="0"/>
              <w:spacing w:before="0" w:after="0" w:line="360" w:lineRule="auto"/>
              <w:ind w:firstLine="360"/>
              <w:rPr>
                <w:rFonts w:ascii="宋体" w:hAnsi="宋体" w:cs="宋体"/>
                <w:sz w:val="24"/>
                <w:szCs w:val="24"/>
              </w:rPr>
            </w:pPr>
          </w:p>
        </w:tc>
        <w:tc>
          <w:tcPr>
            <w:tcW w:w="2707" w:type="dxa"/>
            <w:tcBorders>
              <w:top w:val="single" w:color="000000" w:sz="6" w:space="0"/>
              <w:left w:val="nil"/>
              <w:bottom w:val="single" w:color="000000" w:sz="6" w:space="0"/>
              <w:right w:val="single" w:color="000000" w:sz="4" w:space="0"/>
            </w:tcBorders>
            <w:vAlign w:val="top"/>
          </w:tcPr>
          <w:p>
            <w:pPr>
              <w:widowControl w:val="0"/>
              <w:adjustRightInd w:val="0"/>
              <w:spacing w:before="0" w:after="0" w:line="360" w:lineRule="auto"/>
              <w:ind w:firstLine="360"/>
              <w:rPr>
                <w:rFonts w:ascii="宋体" w:hAnsi="宋体" w:cs="宋体"/>
                <w:sz w:val="24"/>
                <w:szCs w:val="24"/>
              </w:rPr>
            </w:pPr>
          </w:p>
        </w:tc>
      </w:tr>
    </w:tbl>
    <w:p>
      <w:pPr>
        <w:widowControl w:val="0"/>
        <w:adjustRightInd w:val="0"/>
        <w:spacing w:before="166" w:beforeLines="50" w:after="0" w:line="360" w:lineRule="auto"/>
        <w:ind w:left="281" w:leftChars="134" w:right="281" w:rightChars="134"/>
        <w:rPr>
          <w:rFonts w:ascii="宋体" w:hAnsi="宋体" w:cs="宋体"/>
          <w:color w:val="000000"/>
          <w:kern w:val="0"/>
          <w:sz w:val="24"/>
          <w:szCs w:val="24"/>
        </w:rPr>
      </w:pPr>
      <w:r>
        <w:rPr>
          <w:rFonts w:hint="eastAsia" w:ascii="宋体" w:hAnsi="宋体" w:cs="宋体"/>
          <w:color w:val="000000"/>
          <w:kern w:val="0"/>
          <w:sz w:val="24"/>
          <w:szCs w:val="24"/>
        </w:rPr>
        <w:t>注：报价文件与询价文件有差异之处，无论多么微小，均应汇总说明，并说明差异的原因及</w:t>
      </w:r>
      <w:r>
        <w:rPr>
          <w:rFonts w:hint="eastAsia" w:ascii="宋体" w:hAnsi="宋体" w:cs="宋体"/>
          <w:b/>
          <w:bCs/>
          <w:color w:val="000000"/>
          <w:kern w:val="0"/>
          <w:sz w:val="24"/>
          <w:szCs w:val="24"/>
        </w:rPr>
        <w:t>撤回差异时如何引起价格的变化</w:t>
      </w:r>
      <w:r>
        <w:rPr>
          <w:rFonts w:hint="eastAsia" w:ascii="宋体" w:hAnsi="宋体" w:cs="宋体"/>
          <w:color w:val="000000"/>
          <w:kern w:val="0"/>
          <w:sz w:val="24"/>
          <w:szCs w:val="24"/>
        </w:rPr>
        <w:t>。如无差异，则填“无” 。如果报价文件与询价文件的差异之处没有填入“差异表”中，不管投标人是否在报价文件的其他任何地方有其他描述，均不能免除投标人已经承诺响应询价文件要求的责任。</w:t>
      </w: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b/>
          <w:sz w:val="24"/>
          <w:szCs w:val="24"/>
        </w:rPr>
      </w:pPr>
    </w:p>
    <w:p>
      <w:pPr>
        <w:pStyle w:val="2"/>
      </w:pP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b/>
          <w:sz w:val="24"/>
          <w:szCs w:val="24"/>
        </w:rPr>
      </w:pPr>
    </w:p>
    <w:p>
      <w:pPr>
        <w:spacing w:before="0" w:after="0" w:line="460" w:lineRule="auto"/>
        <w:jc w:val="center"/>
        <w:outlineLvl w:val="1"/>
        <w:rPr>
          <w:rFonts w:ascii="宋体" w:hAnsi="宋体" w:cs="宋体"/>
          <w:color w:val="000000"/>
          <w:sz w:val="24"/>
          <w:szCs w:val="24"/>
        </w:rPr>
      </w:pPr>
      <w:r>
        <w:rPr>
          <w:rFonts w:hint="eastAsia" w:ascii="宋体" w:hAnsi="宋体" w:cs="宋体"/>
          <w:b/>
          <w:sz w:val="24"/>
          <w:szCs w:val="24"/>
        </w:rPr>
        <w:t>第7节 技术偏差表（格式）</w:t>
      </w:r>
    </w:p>
    <w:tbl>
      <w:tblPr>
        <w:tblStyle w:val="33"/>
        <w:tblW w:w="85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1521"/>
        <w:gridCol w:w="3121"/>
        <w:gridCol w:w="1663"/>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69"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1521"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r>
              <w:rPr>
                <w:rFonts w:hint="eastAsia" w:ascii="宋体" w:hAnsi="宋体" w:cs="宋体"/>
                <w:color w:val="000000"/>
                <w:sz w:val="24"/>
                <w:szCs w:val="24"/>
              </w:rPr>
              <w:t>技术部分</w:t>
            </w:r>
          </w:p>
          <w:p>
            <w:pPr>
              <w:widowControl w:val="0"/>
              <w:autoSpaceDE w:val="0"/>
              <w:autoSpaceDN w:val="0"/>
              <w:adjustRightInd w:val="0"/>
              <w:spacing w:before="0" w:after="0" w:line="360" w:lineRule="auto"/>
              <w:jc w:val="center"/>
              <w:rPr>
                <w:rFonts w:ascii="宋体" w:hAnsi="宋体" w:cs="宋体"/>
                <w:color w:val="000000"/>
                <w:sz w:val="24"/>
                <w:szCs w:val="24"/>
              </w:rPr>
            </w:pPr>
            <w:r>
              <w:rPr>
                <w:rFonts w:hint="eastAsia" w:ascii="宋体" w:hAnsi="宋体" w:cs="宋体"/>
                <w:color w:val="000000"/>
                <w:sz w:val="24"/>
                <w:szCs w:val="24"/>
              </w:rPr>
              <w:t>条目号</w:t>
            </w:r>
          </w:p>
        </w:tc>
        <w:tc>
          <w:tcPr>
            <w:tcW w:w="3121"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r>
              <w:rPr>
                <w:rFonts w:hint="eastAsia" w:ascii="宋体" w:hAnsi="宋体" w:cs="宋体"/>
                <w:color w:val="000000"/>
                <w:kern w:val="0"/>
                <w:sz w:val="24"/>
                <w:szCs w:val="24"/>
              </w:rPr>
              <w:t>技术要求（功能、关键参数、性能、材质等要求描述）</w:t>
            </w:r>
          </w:p>
        </w:tc>
        <w:tc>
          <w:tcPr>
            <w:tcW w:w="1663"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r>
              <w:rPr>
                <w:rFonts w:hint="eastAsia" w:ascii="宋体" w:hAnsi="宋体" w:cs="宋体"/>
                <w:color w:val="000000"/>
                <w:sz w:val="24"/>
                <w:szCs w:val="24"/>
              </w:rPr>
              <w:t>报价文件响应</w:t>
            </w:r>
          </w:p>
        </w:tc>
        <w:tc>
          <w:tcPr>
            <w:tcW w:w="1476"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r>
              <w:rPr>
                <w:rFonts w:hint="eastAsia" w:ascii="宋体" w:hAnsi="宋体" w:cs="宋体"/>
                <w:color w:val="000000"/>
                <w:sz w:val="24"/>
                <w:szCs w:val="24"/>
              </w:rPr>
              <w:t>偏差说明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9"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1521"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c>
          <w:tcPr>
            <w:tcW w:w="3121"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c>
          <w:tcPr>
            <w:tcW w:w="1663"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c>
          <w:tcPr>
            <w:tcW w:w="1476"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9"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1521"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c>
          <w:tcPr>
            <w:tcW w:w="3121"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c>
          <w:tcPr>
            <w:tcW w:w="1663"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c>
          <w:tcPr>
            <w:tcW w:w="1476"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9"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1521"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c>
          <w:tcPr>
            <w:tcW w:w="3121"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c>
          <w:tcPr>
            <w:tcW w:w="1663"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c>
          <w:tcPr>
            <w:tcW w:w="1476" w:type="dxa"/>
            <w:tcBorders>
              <w:top w:val="single" w:color="000000" w:sz="6" w:space="0"/>
              <w:left w:val="nil"/>
              <w:bottom w:val="single" w:color="000000" w:sz="6" w:space="0"/>
              <w:right w:val="single" w:color="000000" w:sz="6" w:space="0"/>
            </w:tcBorders>
            <w:vAlign w:val="center"/>
          </w:tcPr>
          <w:p>
            <w:pPr>
              <w:widowControl w:val="0"/>
              <w:autoSpaceDE w:val="0"/>
              <w:autoSpaceDN w:val="0"/>
              <w:adjustRightInd w:val="0"/>
              <w:spacing w:before="0" w:after="0" w:line="360" w:lineRule="auto"/>
              <w:jc w:val="center"/>
              <w:rPr>
                <w:rFonts w:ascii="宋体" w:hAnsi="宋体" w:cs="宋体"/>
                <w:color w:val="000000"/>
                <w:sz w:val="24"/>
                <w:szCs w:val="24"/>
              </w:rPr>
            </w:pPr>
          </w:p>
        </w:tc>
      </w:tr>
    </w:tbl>
    <w:p>
      <w:pPr>
        <w:widowControl w:val="0"/>
        <w:adjustRightInd w:val="0"/>
        <w:spacing w:before="166" w:beforeLines="50" w:after="0" w:line="360" w:lineRule="auto"/>
        <w:ind w:left="281" w:leftChars="134" w:right="281" w:rightChars="134"/>
        <w:rPr>
          <w:rFonts w:ascii="宋体" w:hAnsi="宋体" w:cs="宋体"/>
          <w:color w:val="000000"/>
          <w:kern w:val="0"/>
          <w:sz w:val="24"/>
          <w:szCs w:val="24"/>
        </w:rPr>
      </w:pPr>
      <w:r>
        <w:rPr>
          <w:rFonts w:hint="eastAsia" w:ascii="宋体" w:hAnsi="宋体" w:cs="宋体"/>
          <w:color w:val="000000"/>
          <w:kern w:val="0"/>
          <w:sz w:val="24"/>
          <w:szCs w:val="24"/>
        </w:rPr>
        <w:t>注：报价文件与询价文件有差异之处，无论多么微小，均应汇总说明，并说明差异的原因及</w:t>
      </w:r>
      <w:r>
        <w:rPr>
          <w:rFonts w:hint="eastAsia" w:ascii="宋体" w:hAnsi="宋体" w:cs="宋体"/>
          <w:b/>
          <w:bCs/>
          <w:color w:val="000000"/>
          <w:kern w:val="0"/>
          <w:sz w:val="24"/>
          <w:szCs w:val="24"/>
        </w:rPr>
        <w:t>撤回差异时如何引起价格的变化</w:t>
      </w:r>
      <w:r>
        <w:rPr>
          <w:rFonts w:hint="eastAsia" w:ascii="宋体" w:hAnsi="宋体" w:cs="宋体"/>
          <w:color w:val="000000"/>
          <w:kern w:val="0"/>
          <w:sz w:val="24"/>
          <w:szCs w:val="24"/>
        </w:rPr>
        <w:t>。如无差异，则填“无” 。如果报价文件与询价文件的差异之处没有填入“差异表”中，不管投标人是否在报价文件的其他任何地方有其他描述，均不能免除投标人已经承诺响应询价文件要求的责任。</w:t>
      </w:r>
    </w:p>
    <w:p>
      <w:pPr>
        <w:pStyle w:val="14"/>
      </w:pPr>
    </w:p>
    <w:p>
      <w:pPr>
        <w:pStyle w:val="31"/>
        <w:ind w:firstLine="210"/>
      </w:pPr>
    </w:p>
    <w:p>
      <w:pPr>
        <w:pStyle w:val="31"/>
        <w:ind w:firstLine="210"/>
      </w:pPr>
    </w:p>
    <w:p>
      <w:pPr>
        <w:pStyle w:val="31"/>
        <w:ind w:firstLine="210"/>
      </w:pPr>
    </w:p>
    <w:p>
      <w:pPr>
        <w:pStyle w:val="31"/>
        <w:ind w:firstLine="210"/>
      </w:pPr>
    </w:p>
    <w:p>
      <w:pPr>
        <w:pStyle w:val="31"/>
        <w:ind w:firstLine="210"/>
      </w:pPr>
    </w:p>
    <w:p>
      <w:pPr>
        <w:pStyle w:val="31"/>
        <w:ind w:firstLine="210"/>
      </w:pPr>
    </w:p>
    <w:p>
      <w:pPr>
        <w:pStyle w:val="31"/>
        <w:ind w:firstLine="210"/>
      </w:pPr>
    </w:p>
    <w:p>
      <w:pPr>
        <w:pStyle w:val="31"/>
        <w:ind w:firstLine="210"/>
      </w:pPr>
    </w:p>
    <w:p>
      <w:pPr>
        <w:pStyle w:val="31"/>
        <w:ind w:firstLine="210"/>
      </w:pPr>
    </w:p>
    <w:p>
      <w:pPr>
        <w:pStyle w:val="31"/>
        <w:ind w:firstLine="210"/>
      </w:pPr>
    </w:p>
    <w:p>
      <w:pPr>
        <w:widowControl w:val="0"/>
        <w:spacing w:before="0" w:after="0" w:line="360" w:lineRule="exact"/>
        <w:ind w:right="480"/>
        <w:jc w:val="center"/>
        <w:outlineLvl w:val="1"/>
        <w:rPr>
          <w:rFonts w:ascii="宋体" w:hAnsi="宋体" w:cs="宋体"/>
          <w:b/>
          <w:bCs/>
          <w:sz w:val="24"/>
          <w:szCs w:val="24"/>
        </w:rPr>
      </w:pPr>
      <w:r>
        <w:rPr>
          <w:rFonts w:hint="eastAsia" w:ascii="宋体" w:hAnsi="宋体" w:cs="宋体"/>
          <w:b/>
          <w:bCs/>
          <w:sz w:val="24"/>
          <w:szCs w:val="24"/>
        </w:rPr>
        <w:t>第8节 投标技术文件（格式）</w:t>
      </w:r>
    </w:p>
    <w:p>
      <w:pPr>
        <w:rPr>
          <w:rFonts w:ascii="宋体" w:hAnsi="宋体" w:cs="宋体"/>
          <w:sz w:val="24"/>
          <w:szCs w:val="24"/>
        </w:rPr>
      </w:pPr>
    </w:p>
    <w:bookmarkEnd w:id="265"/>
    <w:p>
      <w:pPr>
        <w:spacing w:before="0" w:after="0" w:line="360" w:lineRule="auto"/>
        <w:rPr>
          <w:rFonts w:ascii="宋体" w:hAnsi="宋体" w:cs="宋体"/>
          <w:sz w:val="24"/>
          <w:szCs w:val="24"/>
          <w:lang w:val="zh-CN"/>
        </w:rPr>
      </w:pPr>
      <w:r>
        <w:rPr>
          <w:rFonts w:hint="eastAsia" w:ascii="宋体" w:hAnsi="宋体" w:cs="宋体"/>
          <w:sz w:val="24"/>
          <w:szCs w:val="24"/>
        </w:rPr>
        <w:t xml:space="preserve">    </w:t>
      </w:r>
      <w:r>
        <w:rPr>
          <w:rFonts w:hint="eastAsia" w:ascii="宋体" w:hAnsi="宋体" w:cs="宋体"/>
          <w:sz w:val="24"/>
          <w:szCs w:val="24"/>
          <w:lang w:val="zh-CN"/>
        </w:rPr>
        <w:t>投标人应根据本招标文件要求，编制本项目服务工作大纲，至少应包括以下内容：</w:t>
      </w:r>
      <w:r>
        <w:rPr>
          <w:rFonts w:hint="eastAsia" w:ascii="宋体" w:hAnsi="宋体" w:cs="宋体"/>
          <w:sz w:val="24"/>
          <w:szCs w:val="24"/>
          <w:u w:val="single"/>
          <w:lang w:val="zh-CN"/>
        </w:rPr>
        <w:t xml:space="preserve">                 </w:t>
      </w:r>
    </w:p>
    <w:p>
      <w:pPr>
        <w:spacing w:before="0" w:after="0" w:line="360" w:lineRule="auto"/>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sz w:val="24"/>
          <w:szCs w:val="24"/>
        </w:rPr>
        <w:t>6.1本项目重点和难点分析及对策。</w:t>
      </w:r>
    </w:p>
    <w:p>
      <w:pPr>
        <w:widowControl w:val="0"/>
        <w:spacing w:before="0" w:after="0" w:line="360" w:lineRule="auto"/>
        <w:ind w:firstLine="480" w:firstLineChars="200"/>
        <w:rPr>
          <w:rFonts w:ascii="宋体" w:hAnsi="宋体" w:cs="宋体"/>
          <w:sz w:val="24"/>
          <w:szCs w:val="24"/>
        </w:rPr>
      </w:pPr>
      <w:r>
        <w:rPr>
          <w:rFonts w:hint="eastAsia" w:ascii="宋体" w:hAnsi="宋体" w:cs="宋体"/>
          <w:sz w:val="24"/>
          <w:szCs w:val="24"/>
        </w:rPr>
        <w:t>6.2施工组织机构设置、项目团队人员配备、设备投入及其它资源投入。</w:t>
      </w:r>
    </w:p>
    <w:p>
      <w:pPr>
        <w:widowControl w:val="0"/>
        <w:spacing w:before="0" w:after="0" w:line="360" w:lineRule="auto"/>
        <w:ind w:firstLine="480" w:firstLineChars="200"/>
        <w:rPr>
          <w:rFonts w:ascii="宋体" w:hAnsi="宋体" w:cs="宋体"/>
          <w:sz w:val="24"/>
          <w:szCs w:val="24"/>
        </w:rPr>
      </w:pPr>
      <w:r>
        <w:rPr>
          <w:rFonts w:hint="eastAsia" w:ascii="宋体" w:hAnsi="宋体" w:cs="宋体"/>
          <w:sz w:val="24"/>
          <w:szCs w:val="24"/>
        </w:rPr>
        <w:t>6.3本项目实施方案、总体实施计划、保障措施。</w:t>
      </w:r>
    </w:p>
    <w:p>
      <w:pPr>
        <w:widowControl w:val="0"/>
        <w:spacing w:before="0" w:after="0" w:line="360" w:lineRule="auto"/>
        <w:ind w:firstLine="480" w:firstLineChars="200"/>
        <w:rPr>
          <w:rFonts w:ascii="宋体" w:hAnsi="宋体" w:cs="宋体"/>
          <w:sz w:val="24"/>
          <w:szCs w:val="24"/>
        </w:rPr>
      </w:pPr>
      <w:r>
        <w:rPr>
          <w:rFonts w:hint="eastAsia" w:ascii="宋体" w:hAnsi="宋体" w:cs="宋体"/>
          <w:sz w:val="24"/>
          <w:szCs w:val="24"/>
        </w:rPr>
        <w:t>6.4 依据附件分别编制保安、保洁、仓库、临时用工满意度调查表。</w:t>
      </w:r>
    </w:p>
    <w:p>
      <w:pPr>
        <w:widowControl w:val="0"/>
        <w:spacing w:before="0" w:after="0" w:line="360" w:lineRule="auto"/>
        <w:ind w:firstLine="480" w:firstLineChars="200"/>
        <w:rPr>
          <w:rFonts w:ascii="宋体" w:hAnsi="宋体" w:cs="宋体"/>
          <w:b/>
          <w:bCs/>
          <w:sz w:val="24"/>
          <w:szCs w:val="24"/>
        </w:rPr>
      </w:pPr>
      <w:r>
        <w:rPr>
          <w:rFonts w:hint="eastAsia" w:ascii="宋体" w:hAnsi="宋体" w:cs="宋体"/>
          <w:sz w:val="24"/>
          <w:szCs w:val="24"/>
        </w:rPr>
        <w:t>6.5其它。</w:t>
      </w: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r>
        <w:rPr>
          <w:rFonts w:hint="eastAsia" w:ascii="宋体" w:hAnsi="宋体" w:cs="宋体"/>
          <w:b/>
          <w:bCs/>
          <w:sz w:val="24"/>
          <w:szCs w:val="24"/>
        </w:rPr>
        <w:t>第9节 承诺书（格式自拟）</w:t>
      </w: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rPr>
      </w:pPr>
    </w:p>
    <w:p>
      <w:pPr>
        <w:widowControl w:val="0"/>
        <w:spacing w:before="0" w:after="0" w:line="360" w:lineRule="exact"/>
        <w:ind w:right="480"/>
        <w:jc w:val="both"/>
        <w:outlineLvl w:val="1"/>
        <w:rPr>
          <w:rFonts w:ascii="宋体" w:hAnsi="宋体" w:cs="宋体"/>
          <w:b/>
          <w:bCs/>
          <w:sz w:val="24"/>
          <w:szCs w:val="24"/>
        </w:rPr>
      </w:pPr>
    </w:p>
    <w:p>
      <w:pPr>
        <w:widowControl w:val="0"/>
        <w:spacing w:before="0" w:after="0" w:line="360" w:lineRule="exact"/>
        <w:ind w:right="480"/>
        <w:jc w:val="center"/>
        <w:outlineLvl w:val="1"/>
        <w:rPr>
          <w:rFonts w:ascii="宋体" w:hAnsi="宋体" w:cs="宋体"/>
          <w:b/>
          <w:bCs/>
          <w:sz w:val="24"/>
          <w:szCs w:val="24"/>
          <w:lang w:val="zh-CN"/>
        </w:rPr>
      </w:pPr>
      <w:r>
        <w:rPr>
          <w:rFonts w:hint="eastAsia" w:ascii="宋体" w:hAnsi="宋体" w:cs="宋体"/>
          <w:b/>
          <w:bCs/>
          <w:sz w:val="24"/>
          <w:szCs w:val="24"/>
        </w:rPr>
        <w:t xml:space="preserve">第10节 </w:t>
      </w:r>
      <w:r>
        <w:rPr>
          <w:rFonts w:hint="eastAsia" w:ascii="宋体" w:hAnsi="宋体" w:cs="宋体"/>
          <w:b/>
          <w:bCs/>
          <w:sz w:val="24"/>
          <w:szCs w:val="24"/>
          <w:lang w:val="zh-CN"/>
        </w:rPr>
        <w:t>随同投标文件提交的其它资料</w:t>
      </w:r>
    </w:p>
    <w:p>
      <w:pPr>
        <w:spacing w:before="0" w:after="0" w:line="240" w:lineRule="auto"/>
        <w:jc w:val="left"/>
        <w:rPr>
          <w:rFonts w:ascii="宋体" w:hAnsi="宋体" w:cs="宋体"/>
          <w:sz w:val="24"/>
          <w:szCs w:val="24"/>
          <w:lang w:val="zh-CN"/>
        </w:rPr>
      </w:pPr>
    </w:p>
    <w:p>
      <w:pPr>
        <w:spacing w:before="0" w:after="0" w:line="240" w:lineRule="auto"/>
        <w:jc w:val="left"/>
        <w:rPr>
          <w:rFonts w:ascii="宋体" w:hAnsi="宋体" w:cs="宋体"/>
          <w:sz w:val="24"/>
          <w:szCs w:val="24"/>
          <w:lang w:val="zh-CN"/>
        </w:rPr>
      </w:pPr>
    </w:p>
    <w:p>
      <w:pPr>
        <w:spacing w:before="0" w:after="0" w:line="240" w:lineRule="auto"/>
        <w:jc w:val="left"/>
        <w:rPr>
          <w:rFonts w:ascii="宋体" w:hAnsi="宋体" w:cs="宋体"/>
          <w:sz w:val="24"/>
          <w:szCs w:val="24"/>
          <w:lang w:val="zh-CN"/>
        </w:rPr>
      </w:pPr>
    </w:p>
    <w:p>
      <w:pPr>
        <w:spacing w:before="0" w:after="0" w:line="240" w:lineRule="auto"/>
        <w:jc w:val="left"/>
        <w:rPr>
          <w:rFonts w:ascii="宋体" w:hAnsi="宋体" w:cs="宋体"/>
          <w:sz w:val="24"/>
          <w:szCs w:val="24"/>
          <w:lang w:val="zh-CN"/>
        </w:rPr>
      </w:pPr>
    </w:p>
    <w:p>
      <w:pPr>
        <w:spacing w:before="0" w:after="0" w:line="240" w:lineRule="auto"/>
        <w:jc w:val="left"/>
        <w:rPr>
          <w:rFonts w:ascii="宋体" w:hAnsi="宋体" w:cs="宋体"/>
          <w:sz w:val="24"/>
          <w:szCs w:val="24"/>
          <w:lang w:val="zh-CN"/>
        </w:rPr>
      </w:pPr>
    </w:p>
    <w:p>
      <w:pPr>
        <w:spacing w:before="0" w:after="0" w:line="240" w:lineRule="auto"/>
        <w:jc w:val="left"/>
        <w:rPr>
          <w:rFonts w:ascii="宋体" w:hAnsi="宋体" w:cs="宋体"/>
          <w:sz w:val="24"/>
          <w:szCs w:val="24"/>
          <w:lang w:val="zh-CN"/>
        </w:rPr>
      </w:pPr>
    </w:p>
    <w:p>
      <w:pPr>
        <w:rPr>
          <w:rFonts w:ascii="宋体" w:hAnsi="宋体" w:cs="宋体"/>
          <w:sz w:val="24"/>
          <w:szCs w:val="24"/>
        </w:rPr>
      </w:pPr>
    </w:p>
    <w:sectPr>
      <w:pgSz w:w="11906" w:h="16838" w:orient="landscape"/>
      <w:pgMar w:top="1247" w:right="1247" w:bottom="1247" w:left="1304" w:header="851" w:footer="851" w:gutter="57"/>
      <w:pgNumType w:fmt="decimal"/>
      <w:cols w:space="720" w:num="1"/>
      <w:titlePg/>
      <w:docGrid w:type="lines" w:linePitch="332"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844"/>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6"/>
      </w:rPr>
    </w:pPr>
    <w:r>
      <w:fldChar w:fldCharType="begin"/>
    </w:r>
    <w:r>
      <w:rPr>
        <w:rStyle w:val="36"/>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Arial" w:hAnsi="Arial" w:cs="Arial"/>
        <w:sz w:val="20"/>
      </w:rPr>
    </w:pPr>
    <w:r>
      <w:rPr>
        <w:rFonts w:ascii="Times New Roman" w:hAnsi="Times New Roman" w:eastAsia="宋体" w:cs="Times New Roman"/>
        <w:kern w:val="2"/>
        <w:sz w:val="20"/>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63</w:t>
                          </w:r>
                          <w:r>
                            <w:rPr>
                              <w:rFonts w:hint="eastAsia"/>
                              <w:lang w:eastAsia="zh-CN"/>
                            </w:rPr>
                            <w:t>页</w:t>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gw7Ei8AQAAmgMAAA4AAAAAAAAAAQAgAAAAHgEAAGRycy9lMm9Eb2MueG1sUEsFBgAAAAAG&#10;AAYAWQEAAEwFA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63</w:t>
                    </w:r>
                    <w:r>
                      <w:rPr>
                        <w:rFonts w:hint="eastAsia"/>
                        <w:lang w:eastAsia="zh-CN"/>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val="en-US" w:eastAsia="zh-CN"/>
                            </w:rPr>
                            <w:t>63</w:t>
                          </w:r>
                          <w:r>
                            <w:rPr>
                              <w:rFonts w:hint="eastAsia"/>
                              <w:lang w:eastAsia="zh-CN"/>
                            </w:rPr>
                            <w:t>页</w:t>
                          </w:r>
                        </w:p>
                      </w:txbxContent>
                    </wps:txbx>
                    <wps:bodyPr wrap="none" lIns="0" tIns="0" rIns="0" bIns="0" upright="0">
                      <a:spAutoFit/>
                    </wps:bodyPr>
                  </wps:wsp>
                </a:graphicData>
              </a:graphic>
            </wp:anchor>
          </w:drawing>
        </mc:Choice>
        <mc:Fallback>
          <w:pict>
            <v:shape id="Quad Arrow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pwRofbsBAACaAwAADgAAAAAAAAABACAAAAAeAQAAZHJzL2Uyb0RvYy54bWxQSwUGAAAAAAYA&#10;BgBZAQAASwU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val="en-US" w:eastAsia="zh-CN"/>
                      </w:rPr>
                      <w:t>63</w:t>
                    </w:r>
                    <w:r>
                      <w:rPr>
                        <w:rFonts w:hint="eastAsia"/>
                        <w:lang w:eastAsia="zh-CN"/>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2418080</wp:posOffset>
              </wp:positionH>
              <wp:positionV relativeFrom="paragraph">
                <wp:posOffset>245110</wp:posOffset>
              </wp:positionV>
              <wp:extent cx="1828800" cy="1828800"/>
              <wp:effectExtent l="0" t="0" r="0" b="0"/>
              <wp:wrapNone/>
              <wp:docPr id="5"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 共 </w:t>
                          </w:r>
                          <w:r>
                            <w:rPr>
                              <w:rFonts w:hint="eastAsia"/>
                              <w:lang w:val="en-US" w:eastAsia="zh-CN"/>
                            </w:rPr>
                            <w:t>63</w:t>
                          </w:r>
                          <w:r>
                            <w:rPr>
                              <w:rFonts w:hint="eastAsia"/>
                              <w:lang w:eastAsia="zh-CN"/>
                            </w:rPr>
                            <w:t xml:space="preserve"> 页</w:t>
                          </w:r>
                        </w:p>
                      </w:txbxContent>
                    </wps:txbx>
                    <wps:bodyPr wrap="none" lIns="0" tIns="0" rIns="0" bIns="0" upright="0">
                      <a:spAutoFit/>
                    </wps:bodyPr>
                  </wps:wsp>
                </a:graphicData>
              </a:graphic>
            </wp:anchor>
          </w:drawing>
        </mc:Choice>
        <mc:Fallback>
          <w:pict>
            <v:shape id="Quad Arrow 3" o:spid="_x0000_s1026" o:spt="202" type="#_x0000_t202" style="position:absolute;left:0pt;margin-left:190.4pt;margin-top:19.3pt;height:144pt;width:144pt;mso-position-horizontal-relative:margin;mso-wrap-style:none;z-index:251660288;mso-width-relative:page;mso-height-relative:page;" filled="f" stroked="f" coordsize="21600,21600" o:gfxdata="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CKH1NUAAAAKAQAADwAAAAAAAAABACAAAAAiAAAAZHJzL2Rvd25yZXYueG1sUEsBAhQA&#10;FAAAAAgAh07iQA9nray8AQAAmgMAAA4AAAAAAAAAAQAgAAAAJAEAAGRycy9lMm9Eb2MueG1sUEsF&#10;BgAAAAAGAAYAWQEAAFIFA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 共 </w:t>
                    </w:r>
                    <w:r>
                      <w:rPr>
                        <w:rFonts w:hint="eastAsia"/>
                        <w:lang w:val="en-US" w:eastAsia="zh-CN"/>
                      </w:rPr>
                      <w:t>63</w:t>
                    </w:r>
                    <w:r>
                      <w:rPr>
                        <w:rFonts w:hint="eastAsia"/>
                        <w:lang w:eastAsia="zh-CN"/>
                      </w:rPr>
                      <w:t xml:space="preserve"> 页</w:t>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jc w:val="center"/>
    </w:pPr>
    <w:r>
      <w:rPr>
        <w:rFonts w:hint="eastAsia" w:ascii="宋体" w:hAnsi="宋体" w:cs="宋体"/>
        <w:snapToGrid w:val="0"/>
        <w:sz w:val="24"/>
        <w:szCs w:val="24"/>
        <w:u w:val="none"/>
        <w:lang w:val="en-US" w:eastAsia="zh-CN"/>
      </w:rPr>
      <w:t>四川省能投攀枝花水电开发有限公司营地及电厂物业服务招标文件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jc w:val="center"/>
      <w:rPr>
        <w:u w:val="none"/>
      </w:rPr>
    </w:pPr>
    <w:r>
      <w:rPr>
        <w:rFonts w:hint="eastAsia" w:ascii="宋体" w:hAnsi="宋体" w:cs="宋体"/>
        <w:snapToGrid w:val="0"/>
        <w:sz w:val="24"/>
        <w:szCs w:val="24"/>
        <w:u w:val="none"/>
        <w:lang w:val="en-US" w:eastAsia="zh-CN"/>
      </w:rPr>
      <w:t>四川省能投攀枝花水电开发有限公司营地及电厂物业服务招标文件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jc w:val="center"/>
    </w:pPr>
    <w:r>
      <w:rPr>
        <w:rFonts w:hint="eastAsia" w:ascii="宋体" w:hAnsi="宋体" w:cs="宋体"/>
        <w:snapToGrid w:val="0"/>
        <w:sz w:val="24"/>
        <w:szCs w:val="24"/>
        <w:u w:val="none"/>
        <w:lang w:val="en-US" w:eastAsia="zh-CN"/>
      </w:rPr>
      <w:t>四川省能投攀枝花水电开发有限公司营地及电厂物业服务招标文件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04134"/>
    <w:multiLevelType w:val="singleLevel"/>
    <w:tmpl w:val="C7504134"/>
    <w:lvl w:ilvl="0" w:tentative="0">
      <w:start w:val="1"/>
      <w:numFmt w:val="decimal"/>
      <w:lvlText w:val="(%1)"/>
      <w:lvlJc w:val="left"/>
      <w:pPr>
        <w:tabs>
          <w:tab w:val="left" w:pos="312"/>
        </w:tabs>
      </w:pPr>
    </w:lvl>
  </w:abstractNum>
  <w:abstractNum w:abstractNumId="1">
    <w:nsid w:val="CBE03D87"/>
    <w:multiLevelType w:val="singleLevel"/>
    <w:tmpl w:val="CBE03D87"/>
    <w:lvl w:ilvl="0" w:tentative="0">
      <w:start w:val="1"/>
      <w:numFmt w:val="decimal"/>
      <w:suff w:val="nothing"/>
      <w:lvlText w:val="（%1）"/>
      <w:lvlJc w:val="left"/>
    </w:lvl>
  </w:abstractNum>
  <w:abstractNum w:abstractNumId="2">
    <w:nsid w:val="D192BD9D"/>
    <w:multiLevelType w:val="singleLevel"/>
    <w:tmpl w:val="D192BD9D"/>
    <w:lvl w:ilvl="0" w:tentative="0">
      <w:start w:val="1"/>
      <w:numFmt w:val="decimal"/>
      <w:suff w:val="nothing"/>
      <w:lvlText w:val="（%1）"/>
      <w:lvlJc w:val="left"/>
    </w:lvl>
  </w:abstractNum>
  <w:abstractNum w:abstractNumId="3">
    <w:nsid w:val="FF8D04B5"/>
    <w:multiLevelType w:val="singleLevel"/>
    <w:tmpl w:val="FF8D04B5"/>
    <w:lvl w:ilvl="0" w:tentative="0">
      <w:start w:val="1"/>
      <w:numFmt w:val="decimal"/>
      <w:suff w:val="nothing"/>
      <w:lvlText w:val="（%1）"/>
      <w:lvlJc w:val="left"/>
    </w:lvl>
  </w:abstractNum>
  <w:abstractNum w:abstractNumId="4">
    <w:nsid w:val="17532081"/>
    <w:multiLevelType w:val="singleLevel"/>
    <w:tmpl w:val="17532081"/>
    <w:lvl w:ilvl="0" w:tentative="0">
      <w:start w:val="1"/>
      <w:numFmt w:val="decimal"/>
      <w:suff w:val="nothing"/>
      <w:lvlText w:val="（%1）"/>
      <w:lvlJc w:val="left"/>
    </w:lvl>
  </w:abstractNum>
  <w:abstractNum w:abstractNumId="5">
    <w:nsid w:val="249AE567"/>
    <w:multiLevelType w:val="singleLevel"/>
    <w:tmpl w:val="249AE567"/>
    <w:lvl w:ilvl="0" w:tentative="0">
      <w:start w:val="1"/>
      <w:numFmt w:val="decimal"/>
      <w:suff w:val="nothing"/>
      <w:lvlText w:val="（%1）"/>
      <w:lvlJc w:val="left"/>
    </w:lvl>
  </w:abstractNum>
  <w:abstractNum w:abstractNumId="6">
    <w:nsid w:val="44693D05"/>
    <w:multiLevelType w:val="multilevel"/>
    <w:tmpl w:val="44693D05"/>
    <w:lvl w:ilvl="0" w:tentative="0">
      <w:start w:val="1"/>
      <w:numFmt w:val="decimal"/>
      <w:suff w:val="nothing"/>
      <w:lvlText w:val="（%1）"/>
      <w:lvlJc w:val="left"/>
      <w:pPr>
        <w:ind w:left="480" w:firstLine="0"/>
      </w:pPr>
      <w:rPr>
        <w:rFonts w:hint="eastAsia" w:ascii="宋体" w:hAnsi="宋体" w:eastAsia="宋体"/>
      </w:rPr>
    </w:lvl>
    <w:lvl w:ilvl="1" w:tentative="0">
      <w:start w:val="1"/>
      <w:numFmt w:val="decimal"/>
      <w:suff w:val="nothing"/>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72BD0ED4"/>
    <w:multiLevelType w:val="multilevel"/>
    <w:tmpl w:val="72BD0ED4"/>
    <w:lvl w:ilvl="0" w:tentative="0">
      <w:start w:val="2"/>
      <w:numFmt w:val="decimalEnclosedCircle"/>
      <w:lvlText w:val="%1"/>
      <w:lvlJc w:val="left"/>
      <w:pPr>
        <w:ind w:left="780" w:hanging="360"/>
      </w:pPr>
      <w:rPr>
        <w:rFonts w:hint="default" w:ascii="宋体" w:hAnsi="宋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0"/>
  <w:bordersDoNotSurroundFooter w:val="0"/>
  <w:documentProtection w:enforcement="0"/>
  <w:defaultTabStop w:val="425"/>
  <w:drawingGridHorizontalSpacing w:val="189"/>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3E"/>
    <w:rsid w:val="0000168F"/>
    <w:rsid w:val="00001E96"/>
    <w:rsid w:val="00003190"/>
    <w:rsid w:val="00013102"/>
    <w:rsid w:val="00013FFB"/>
    <w:rsid w:val="00014A92"/>
    <w:rsid w:val="00016436"/>
    <w:rsid w:val="0002050A"/>
    <w:rsid w:val="000235AD"/>
    <w:rsid w:val="00024298"/>
    <w:rsid w:val="00025F07"/>
    <w:rsid w:val="00026A09"/>
    <w:rsid w:val="00026FA5"/>
    <w:rsid w:val="00030613"/>
    <w:rsid w:val="0003349D"/>
    <w:rsid w:val="000402B0"/>
    <w:rsid w:val="00041094"/>
    <w:rsid w:val="00042D77"/>
    <w:rsid w:val="00044867"/>
    <w:rsid w:val="00044E2C"/>
    <w:rsid w:val="00044F95"/>
    <w:rsid w:val="00051221"/>
    <w:rsid w:val="00051B86"/>
    <w:rsid w:val="00051D9E"/>
    <w:rsid w:val="00052E26"/>
    <w:rsid w:val="000538A6"/>
    <w:rsid w:val="00054D14"/>
    <w:rsid w:val="00054F0F"/>
    <w:rsid w:val="000602D6"/>
    <w:rsid w:val="0006447D"/>
    <w:rsid w:val="00066AC9"/>
    <w:rsid w:val="0007006C"/>
    <w:rsid w:val="00070540"/>
    <w:rsid w:val="00072B50"/>
    <w:rsid w:val="00072E21"/>
    <w:rsid w:val="00074676"/>
    <w:rsid w:val="00075553"/>
    <w:rsid w:val="00077568"/>
    <w:rsid w:val="00083372"/>
    <w:rsid w:val="000838BA"/>
    <w:rsid w:val="0008485E"/>
    <w:rsid w:val="0008782B"/>
    <w:rsid w:val="000878B7"/>
    <w:rsid w:val="00094399"/>
    <w:rsid w:val="000954D1"/>
    <w:rsid w:val="00096BE4"/>
    <w:rsid w:val="0009770B"/>
    <w:rsid w:val="000979B7"/>
    <w:rsid w:val="000A1E22"/>
    <w:rsid w:val="000A333D"/>
    <w:rsid w:val="000A406E"/>
    <w:rsid w:val="000A4C4B"/>
    <w:rsid w:val="000A68ED"/>
    <w:rsid w:val="000A6FA8"/>
    <w:rsid w:val="000B197B"/>
    <w:rsid w:val="000B24B4"/>
    <w:rsid w:val="000B374F"/>
    <w:rsid w:val="000B456B"/>
    <w:rsid w:val="000B5400"/>
    <w:rsid w:val="000B5539"/>
    <w:rsid w:val="000B55DF"/>
    <w:rsid w:val="000B71FF"/>
    <w:rsid w:val="000C084E"/>
    <w:rsid w:val="000C18E0"/>
    <w:rsid w:val="000C2289"/>
    <w:rsid w:val="000C3851"/>
    <w:rsid w:val="000C3CFB"/>
    <w:rsid w:val="000C75CB"/>
    <w:rsid w:val="000C7C69"/>
    <w:rsid w:val="000D1621"/>
    <w:rsid w:val="000D2C8E"/>
    <w:rsid w:val="000D2D86"/>
    <w:rsid w:val="000D7DB4"/>
    <w:rsid w:val="000E0043"/>
    <w:rsid w:val="000E3ABB"/>
    <w:rsid w:val="000E3D16"/>
    <w:rsid w:val="000E477B"/>
    <w:rsid w:val="000E4D9E"/>
    <w:rsid w:val="000E4DE2"/>
    <w:rsid w:val="000F4A90"/>
    <w:rsid w:val="001014BA"/>
    <w:rsid w:val="001030B6"/>
    <w:rsid w:val="00105861"/>
    <w:rsid w:val="001062AA"/>
    <w:rsid w:val="00106D49"/>
    <w:rsid w:val="001075FB"/>
    <w:rsid w:val="00113D07"/>
    <w:rsid w:val="00117795"/>
    <w:rsid w:val="00122644"/>
    <w:rsid w:val="001265EB"/>
    <w:rsid w:val="00126EA9"/>
    <w:rsid w:val="00127D09"/>
    <w:rsid w:val="00131E5B"/>
    <w:rsid w:val="00134DD3"/>
    <w:rsid w:val="0013608D"/>
    <w:rsid w:val="00137DE0"/>
    <w:rsid w:val="001430D2"/>
    <w:rsid w:val="001453E7"/>
    <w:rsid w:val="00146763"/>
    <w:rsid w:val="00146BDA"/>
    <w:rsid w:val="0014740E"/>
    <w:rsid w:val="0015047F"/>
    <w:rsid w:val="00160590"/>
    <w:rsid w:val="001615A5"/>
    <w:rsid w:val="00164C63"/>
    <w:rsid w:val="00164EAF"/>
    <w:rsid w:val="001662E7"/>
    <w:rsid w:val="00175096"/>
    <w:rsid w:val="00177368"/>
    <w:rsid w:val="00177578"/>
    <w:rsid w:val="00182834"/>
    <w:rsid w:val="001854BA"/>
    <w:rsid w:val="0018638B"/>
    <w:rsid w:val="00192B1D"/>
    <w:rsid w:val="001934E9"/>
    <w:rsid w:val="0019507E"/>
    <w:rsid w:val="00195487"/>
    <w:rsid w:val="00196B11"/>
    <w:rsid w:val="001A04AC"/>
    <w:rsid w:val="001A1922"/>
    <w:rsid w:val="001A5AC9"/>
    <w:rsid w:val="001A6D9F"/>
    <w:rsid w:val="001A7400"/>
    <w:rsid w:val="001B0DFA"/>
    <w:rsid w:val="001B1E8A"/>
    <w:rsid w:val="001B4766"/>
    <w:rsid w:val="001B497B"/>
    <w:rsid w:val="001B6C5E"/>
    <w:rsid w:val="001B7212"/>
    <w:rsid w:val="001C40B7"/>
    <w:rsid w:val="001C5D55"/>
    <w:rsid w:val="001C62DF"/>
    <w:rsid w:val="001C73AD"/>
    <w:rsid w:val="001D26CC"/>
    <w:rsid w:val="001D2DA3"/>
    <w:rsid w:val="001D32B0"/>
    <w:rsid w:val="001D5947"/>
    <w:rsid w:val="001D6421"/>
    <w:rsid w:val="001E1BC7"/>
    <w:rsid w:val="001E41B4"/>
    <w:rsid w:val="001E43C4"/>
    <w:rsid w:val="001E4BAC"/>
    <w:rsid w:val="001E7827"/>
    <w:rsid w:val="001F037A"/>
    <w:rsid w:val="001F0E31"/>
    <w:rsid w:val="001F2FB9"/>
    <w:rsid w:val="001F3913"/>
    <w:rsid w:val="001F712A"/>
    <w:rsid w:val="001F71A7"/>
    <w:rsid w:val="002015EE"/>
    <w:rsid w:val="00204C4F"/>
    <w:rsid w:val="00205703"/>
    <w:rsid w:val="002062E2"/>
    <w:rsid w:val="0021214F"/>
    <w:rsid w:val="002138B0"/>
    <w:rsid w:val="00213E18"/>
    <w:rsid w:val="00216450"/>
    <w:rsid w:val="0021673B"/>
    <w:rsid w:val="00216AD4"/>
    <w:rsid w:val="00216CF1"/>
    <w:rsid w:val="002175D6"/>
    <w:rsid w:val="00221622"/>
    <w:rsid w:val="002218CF"/>
    <w:rsid w:val="002218D0"/>
    <w:rsid w:val="0022313D"/>
    <w:rsid w:val="002233F1"/>
    <w:rsid w:val="002235A3"/>
    <w:rsid w:val="00224BCD"/>
    <w:rsid w:val="00225150"/>
    <w:rsid w:val="00226B12"/>
    <w:rsid w:val="00227098"/>
    <w:rsid w:val="0023123F"/>
    <w:rsid w:val="0023692E"/>
    <w:rsid w:val="00240F78"/>
    <w:rsid w:val="0024238C"/>
    <w:rsid w:val="00250106"/>
    <w:rsid w:val="00250912"/>
    <w:rsid w:val="00250B29"/>
    <w:rsid w:val="00251C85"/>
    <w:rsid w:val="00252138"/>
    <w:rsid w:val="0025377D"/>
    <w:rsid w:val="00254BFE"/>
    <w:rsid w:val="00255099"/>
    <w:rsid w:val="002551A5"/>
    <w:rsid w:val="00255A28"/>
    <w:rsid w:val="00256465"/>
    <w:rsid w:val="002579F2"/>
    <w:rsid w:val="00257A98"/>
    <w:rsid w:val="00261284"/>
    <w:rsid w:val="00261E0F"/>
    <w:rsid w:val="002622E4"/>
    <w:rsid w:val="00263A0F"/>
    <w:rsid w:val="00267D7B"/>
    <w:rsid w:val="00267EF5"/>
    <w:rsid w:val="002731B6"/>
    <w:rsid w:val="002736CF"/>
    <w:rsid w:val="00274893"/>
    <w:rsid w:val="00274BC8"/>
    <w:rsid w:val="00277355"/>
    <w:rsid w:val="0027742C"/>
    <w:rsid w:val="00277832"/>
    <w:rsid w:val="0028310B"/>
    <w:rsid w:val="00283674"/>
    <w:rsid w:val="002858AA"/>
    <w:rsid w:val="00291D9E"/>
    <w:rsid w:val="00291E17"/>
    <w:rsid w:val="00292F11"/>
    <w:rsid w:val="002937ED"/>
    <w:rsid w:val="002961B8"/>
    <w:rsid w:val="00296C5E"/>
    <w:rsid w:val="00297BF7"/>
    <w:rsid w:val="002A2980"/>
    <w:rsid w:val="002A2DC1"/>
    <w:rsid w:val="002A6D93"/>
    <w:rsid w:val="002A70F9"/>
    <w:rsid w:val="002A7D1A"/>
    <w:rsid w:val="002A7F52"/>
    <w:rsid w:val="002B07A8"/>
    <w:rsid w:val="002B08CA"/>
    <w:rsid w:val="002B32C2"/>
    <w:rsid w:val="002B5B4E"/>
    <w:rsid w:val="002B7A1D"/>
    <w:rsid w:val="002C0412"/>
    <w:rsid w:val="002C04EF"/>
    <w:rsid w:val="002C1B3C"/>
    <w:rsid w:val="002C28D2"/>
    <w:rsid w:val="002D040C"/>
    <w:rsid w:val="002D12A5"/>
    <w:rsid w:val="002D2916"/>
    <w:rsid w:val="002D3CBE"/>
    <w:rsid w:val="002D52B8"/>
    <w:rsid w:val="002D7EEC"/>
    <w:rsid w:val="002E402E"/>
    <w:rsid w:val="002E4F4C"/>
    <w:rsid w:val="002F1A88"/>
    <w:rsid w:val="002F557D"/>
    <w:rsid w:val="002F66A4"/>
    <w:rsid w:val="002F6BA9"/>
    <w:rsid w:val="002F74AA"/>
    <w:rsid w:val="00300244"/>
    <w:rsid w:val="00302D7B"/>
    <w:rsid w:val="00303AAA"/>
    <w:rsid w:val="003046AD"/>
    <w:rsid w:val="00304970"/>
    <w:rsid w:val="00304B20"/>
    <w:rsid w:val="00305E45"/>
    <w:rsid w:val="00306FC2"/>
    <w:rsid w:val="0031248C"/>
    <w:rsid w:val="003124F7"/>
    <w:rsid w:val="003125B2"/>
    <w:rsid w:val="003129BF"/>
    <w:rsid w:val="00313D34"/>
    <w:rsid w:val="00316173"/>
    <w:rsid w:val="00320771"/>
    <w:rsid w:val="00320C93"/>
    <w:rsid w:val="0032100D"/>
    <w:rsid w:val="00321419"/>
    <w:rsid w:val="00321FD3"/>
    <w:rsid w:val="00323366"/>
    <w:rsid w:val="00331497"/>
    <w:rsid w:val="00331930"/>
    <w:rsid w:val="00331B43"/>
    <w:rsid w:val="00331F9F"/>
    <w:rsid w:val="00332DFC"/>
    <w:rsid w:val="00333A8D"/>
    <w:rsid w:val="003347D3"/>
    <w:rsid w:val="00335111"/>
    <w:rsid w:val="00335B5D"/>
    <w:rsid w:val="00336500"/>
    <w:rsid w:val="003448DB"/>
    <w:rsid w:val="00344E80"/>
    <w:rsid w:val="00346915"/>
    <w:rsid w:val="00352E09"/>
    <w:rsid w:val="00354A30"/>
    <w:rsid w:val="00355431"/>
    <w:rsid w:val="0035600F"/>
    <w:rsid w:val="00356698"/>
    <w:rsid w:val="0036055E"/>
    <w:rsid w:val="00361087"/>
    <w:rsid w:val="003618DD"/>
    <w:rsid w:val="00361DFA"/>
    <w:rsid w:val="00362997"/>
    <w:rsid w:val="00363CD0"/>
    <w:rsid w:val="00367290"/>
    <w:rsid w:val="0037233B"/>
    <w:rsid w:val="003732BC"/>
    <w:rsid w:val="00375883"/>
    <w:rsid w:val="00377047"/>
    <w:rsid w:val="00380355"/>
    <w:rsid w:val="0038178C"/>
    <w:rsid w:val="00383C94"/>
    <w:rsid w:val="00384736"/>
    <w:rsid w:val="00384D4A"/>
    <w:rsid w:val="0038549E"/>
    <w:rsid w:val="00385A13"/>
    <w:rsid w:val="00385E46"/>
    <w:rsid w:val="00392996"/>
    <w:rsid w:val="00393E72"/>
    <w:rsid w:val="003961E7"/>
    <w:rsid w:val="003A0AD0"/>
    <w:rsid w:val="003A1DD4"/>
    <w:rsid w:val="003A1E61"/>
    <w:rsid w:val="003A5948"/>
    <w:rsid w:val="003B2C15"/>
    <w:rsid w:val="003B3A9D"/>
    <w:rsid w:val="003B7570"/>
    <w:rsid w:val="003B7841"/>
    <w:rsid w:val="003C071C"/>
    <w:rsid w:val="003C1EF5"/>
    <w:rsid w:val="003C27FD"/>
    <w:rsid w:val="003C2E98"/>
    <w:rsid w:val="003C34AD"/>
    <w:rsid w:val="003C5A4E"/>
    <w:rsid w:val="003D03D4"/>
    <w:rsid w:val="003D05EA"/>
    <w:rsid w:val="003D10C2"/>
    <w:rsid w:val="003D718E"/>
    <w:rsid w:val="003E1215"/>
    <w:rsid w:val="003E31BB"/>
    <w:rsid w:val="003E4ED5"/>
    <w:rsid w:val="003E53FD"/>
    <w:rsid w:val="003E5AA9"/>
    <w:rsid w:val="003E62F8"/>
    <w:rsid w:val="003E6ACB"/>
    <w:rsid w:val="003E7C55"/>
    <w:rsid w:val="003E7EBF"/>
    <w:rsid w:val="003F33DB"/>
    <w:rsid w:val="003F3E0C"/>
    <w:rsid w:val="003F44C8"/>
    <w:rsid w:val="003F78AA"/>
    <w:rsid w:val="00400DC9"/>
    <w:rsid w:val="00403D9F"/>
    <w:rsid w:val="00403F52"/>
    <w:rsid w:val="00404236"/>
    <w:rsid w:val="0040746B"/>
    <w:rsid w:val="00407615"/>
    <w:rsid w:val="00411CCE"/>
    <w:rsid w:val="00412ED7"/>
    <w:rsid w:val="00415D77"/>
    <w:rsid w:val="004173C3"/>
    <w:rsid w:val="004203E5"/>
    <w:rsid w:val="00421576"/>
    <w:rsid w:val="00423193"/>
    <w:rsid w:val="00424CDF"/>
    <w:rsid w:val="00426296"/>
    <w:rsid w:val="00426379"/>
    <w:rsid w:val="00426A4A"/>
    <w:rsid w:val="004324FF"/>
    <w:rsid w:val="00433741"/>
    <w:rsid w:val="00433EAA"/>
    <w:rsid w:val="00435725"/>
    <w:rsid w:val="00437B9E"/>
    <w:rsid w:val="0044237D"/>
    <w:rsid w:val="00451C0F"/>
    <w:rsid w:val="004542C8"/>
    <w:rsid w:val="00457F2F"/>
    <w:rsid w:val="0046003C"/>
    <w:rsid w:val="00461543"/>
    <w:rsid w:val="00462BDE"/>
    <w:rsid w:val="00464791"/>
    <w:rsid w:val="0046496E"/>
    <w:rsid w:val="00464A63"/>
    <w:rsid w:val="00472658"/>
    <w:rsid w:val="00475289"/>
    <w:rsid w:val="00476588"/>
    <w:rsid w:val="00477C1E"/>
    <w:rsid w:val="0048072A"/>
    <w:rsid w:val="0048175E"/>
    <w:rsid w:val="00485DB4"/>
    <w:rsid w:val="00486E8C"/>
    <w:rsid w:val="00492474"/>
    <w:rsid w:val="00492537"/>
    <w:rsid w:val="00492CA4"/>
    <w:rsid w:val="00493048"/>
    <w:rsid w:val="00494CC7"/>
    <w:rsid w:val="004A216C"/>
    <w:rsid w:val="004A3C58"/>
    <w:rsid w:val="004A68AE"/>
    <w:rsid w:val="004A6ED9"/>
    <w:rsid w:val="004A72C6"/>
    <w:rsid w:val="004A7ADF"/>
    <w:rsid w:val="004B09A2"/>
    <w:rsid w:val="004B1447"/>
    <w:rsid w:val="004B22BD"/>
    <w:rsid w:val="004B2639"/>
    <w:rsid w:val="004B448A"/>
    <w:rsid w:val="004B5161"/>
    <w:rsid w:val="004B5EDF"/>
    <w:rsid w:val="004B62C4"/>
    <w:rsid w:val="004C2854"/>
    <w:rsid w:val="004C4047"/>
    <w:rsid w:val="004C4126"/>
    <w:rsid w:val="004C4868"/>
    <w:rsid w:val="004C6BA3"/>
    <w:rsid w:val="004D0A8D"/>
    <w:rsid w:val="004D1689"/>
    <w:rsid w:val="004D44C5"/>
    <w:rsid w:val="004D5D12"/>
    <w:rsid w:val="004D6E72"/>
    <w:rsid w:val="004E085F"/>
    <w:rsid w:val="004E0CD2"/>
    <w:rsid w:val="004E1E8D"/>
    <w:rsid w:val="004E20E9"/>
    <w:rsid w:val="004E33E0"/>
    <w:rsid w:val="004E35B2"/>
    <w:rsid w:val="004E36CB"/>
    <w:rsid w:val="004E3C68"/>
    <w:rsid w:val="004E4077"/>
    <w:rsid w:val="004E55B5"/>
    <w:rsid w:val="004F0327"/>
    <w:rsid w:val="004F4673"/>
    <w:rsid w:val="004F523B"/>
    <w:rsid w:val="004F58DD"/>
    <w:rsid w:val="00500B60"/>
    <w:rsid w:val="00501F22"/>
    <w:rsid w:val="005020DE"/>
    <w:rsid w:val="005034E2"/>
    <w:rsid w:val="00503FD5"/>
    <w:rsid w:val="005040CC"/>
    <w:rsid w:val="00504E57"/>
    <w:rsid w:val="0050781B"/>
    <w:rsid w:val="00507F44"/>
    <w:rsid w:val="0051114C"/>
    <w:rsid w:val="00511AA2"/>
    <w:rsid w:val="00513D42"/>
    <w:rsid w:val="00515D6F"/>
    <w:rsid w:val="0051669B"/>
    <w:rsid w:val="00517098"/>
    <w:rsid w:val="0052293E"/>
    <w:rsid w:val="00523C0C"/>
    <w:rsid w:val="00524825"/>
    <w:rsid w:val="00524CC7"/>
    <w:rsid w:val="00525581"/>
    <w:rsid w:val="00525B82"/>
    <w:rsid w:val="00526D4A"/>
    <w:rsid w:val="00526F1B"/>
    <w:rsid w:val="005307A7"/>
    <w:rsid w:val="00532049"/>
    <w:rsid w:val="005338E3"/>
    <w:rsid w:val="00533A0E"/>
    <w:rsid w:val="0053426E"/>
    <w:rsid w:val="005343FA"/>
    <w:rsid w:val="00535499"/>
    <w:rsid w:val="005356F4"/>
    <w:rsid w:val="00535799"/>
    <w:rsid w:val="00537590"/>
    <w:rsid w:val="00541607"/>
    <w:rsid w:val="00543542"/>
    <w:rsid w:val="00543A8D"/>
    <w:rsid w:val="005508BA"/>
    <w:rsid w:val="00551618"/>
    <w:rsid w:val="005535F1"/>
    <w:rsid w:val="00554CB7"/>
    <w:rsid w:val="00555AA3"/>
    <w:rsid w:val="005627D0"/>
    <w:rsid w:val="0056608A"/>
    <w:rsid w:val="005668D7"/>
    <w:rsid w:val="00570EF2"/>
    <w:rsid w:val="0057642A"/>
    <w:rsid w:val="005813F0"/>
    <w:rsid w:val="00581545"/>
    <w:rsid w:val="0058423F"/>
    <w:rsid w:val="0058698C"/>
    <w:rsid w:val="005906D4"/>
    <w:rsid w:val="00590E21"/>
    <w:rsid w:val="00590FAD"/>
    <w:rsid w:val="00591C1C"/>
    <w:rsid w:val="005920DD"/>
    <w:rsid w:val="005923F0"/>
    <w:rsid w:val="00592637"/>
    <w:rsid w:val="005932E5"/>
    <w:rsid w:val="0059356B"/>
    <w:rsid w:val="00594F61"/>
    <w:rsid w:val="00595300"/>
    <w:rsid w:val="0059573A"/>
    <w:rsid w:val="00595B05"/>
    <w:rsid w:val="005977A9"/>
    <w:rsid w:val="00597ED9"/>
    <w:rsid w:val="005A02F9"/>
    <w:rsid w:val="005A1251"/>
    <w:rsid w:val="005A32CC"/>
    <w:rsid w:val="005A4E6E"/>
    <w:rsid w:val="005A5A7B"/>
    <w:rsid w:val="005B059E"/>
    <w:rsid w:val="005B0C80"/>
    <w:rsid w:val="005B20DA"/>
    <w:rsid w:val="005C006D"/>
    <w:rsid w:val="005C0ECF"/>
    <w:rsid w:val="005C2271"/>
    <w:rsid w:val="005C380D"/>
    <w:rsid w:val="005C46E5"/>
    <w:rsid w:val="005C4B05"/>
    <w:rsid w:val="005C4B33"/>
    <w:rsid w:val="005C5219"/>
    <w:rsid w:val="005C6216"/>
    <w:rsid w:val="005C7ED0"/>
    <w:rsid w:val="005D0F37"/>
    <w:rsid w:val="005D2957"/>
    <w:rsid w:val="005D5975"/>
    <w:rsid w:val="005E0AAC"/>
    <w:rsid w:val="005E1B4E"/>
    <w:rsid w:val="005E3AAA"/>
    <w:rsid w:val="005E61B3"/>
    <w:rsid w:val="005E6C77"/>
    <w:rsid w:val="005E7021"/>
    <w:rsid w:val="005E7B62"/>
    <w:rsid w:val="005E7BBA"/>
    <w:rsid w:val="005E7EB7"/>
    <w:rsid w:val="005F1F3C"/>
    <w:rsid w:val="005F2403"/>
    <w:rsid w:val="005F3823"/>
    <w:rsid w:val="005F6CBC"/>
    <w:rsid w:val="005F79C9"/>
    <w:rsid w:val="006012A2"/>
    <w:rsid w:val="00604D59"/>
    <w:rsid w:val="0061245C"/>
    <w:rsid w:val="00613603"/>
    <w:rsid w:val="00615593"/>
    <w:rsid w:val="0061637B"/>
    <w:rsid w:val="00616545"/>
    <w:rsid w:val="00617498"/>
    <w:rsid w:val="006174A6"/>
    <w:rsid w:val="00625482"/>
    <w:rsid w:val="0062569D"/>
    <w:rsid w:val="00626A9E"/>
    <w:rsid w:val="00630A5E"/>
    <w:rsid w:val="0063397B"/>
    <w:rsid w:val="00633F1D"/>
    <w:rsid w:val="0063443F"/>
    <w:rsid w:val="00640E1C"/>
    <w:rsid w:val="00641015"/>
    <w:rsid w:val="00644B7D"/>
    <w:rsid w:val="0064541E"/>
    <w:rsid w:val="006510EE"/>
    <w:rsid w:val="00652D8F"/>
    <w:rsid w:val="00653652"/>
    <w:rsid w:val="006626A1"/>
    <w:rsid w:val="00664493"/>
    <w:rsid w:val="006669EC"/>
    <w:rsid w:val="0066791A"/>
    <w:rsid w:val="00667DE6"/>
    <w:rsid w:val="00670139"/>
    <w:rsid w:val="00671922"/>
    <w:rsid w:val="00674B30"/>
    <w:rsid w:val="00676A43"/>
    <w:rsid w:val="0068219C"/>
    <w:rsid w:val="00682E57"/>
    <w:rsid w:val="00683030"/>
    <w:rsid w:val="0068528E"/>
    <w:rsid w:val="006876AE"/>
    <w:rsid w:val="00690D09"/>
    <w:rsid w:val="00691FBA"/>
    <w:rsid w:val="00696585"/>
    <w:rsid w:val="006A0CE2"/>
    <w:rsid w:val="006A0CF9"/>
    <w:rsid w:val="006A3158"/>
    <w:rsid w:val="006A3834"/>
    <w:rsid w:val="006A392F"/>
    <w:rsid w:val="006A3CD8"/>
    <w:rsid w:val="006A6329"/>
    <w:rsid w:val="006B0210"/>
    <w:rsid w:val="006B74CB"/>
    <w:rsid w:val="006C0708"/>
    <w:rsid w:val="006C11CB"/>
    <w:rsid w:val="006C178D"/>
    <w:rsid w:val="006C1BF4"/>
    <w:rsid w:val="006C1FD6"/>
    <w:rsid w:val="006C47A1"/>
    <w:rsid w:val="006D17AE"/>
    <w:rsid w:val="006D373B"/>
    <w:rsid w:val="006D60C8"/>
    <w:rsid w:val="006D7793"/>
    <w:rsid w:val="006E24EA"/>
    <w:rsid w:val="006E2AD4"/>
    <w:rsid w:val="006E3D17"/>
    <w:rsid w:val="006E5646"/>
    <w:rsid w:val="006F1DE2"/>
    <w:rsid w:val="006F2B33"/>
    <w:rsid w:val="006F2EB2"/>
    <w:rsid w:val="006F5C2B"/>
    <w:rsid w:val="006F7C67"/>
    <w:rsid w:val="0071033B"/>
    <w:rsid w:val="00716968"/>
    <w:rsid w:val="0071741B"/>
    <w:rsid w:val="00722204"/>
    <w:rsid w:val="00724F1B"/>
    <w:rsid w:val="0073032E"/>
    <w:rsid w:val="00730A4D"/>
    <w:rsid w:val="0073567D"/>
    <w:rsid w:val="007369CC"/>
    <w:rsid w:val="0074239E"/>
    <w:rsid w:val="00743C97"/>
    <w:rsid w:val="007444B4"/>
    <w:rsid w:val="007470C2"/>
    <w:rsid w:val="00747E28"/>
    <w:rsid w:val="00750B5B"/>
    <w:rsid w:val="0075240D"/>
    <w:rsid w:val="00752F80"/>
    <w:rsid w:val="0075330B"/>
    <w:rsid w:val="0075401B"/>
    <w:rsid w:val="007567CC"/>
    <w:rsid w:val="007622FA"/>
    <w:rsid w:val="0076419D"/>
    <w:rsid w:val="007653F3"/>
    <w:rsid w:val="00766423"/>
    <w:rsid w:val="0076708E"/>
    <w:rsid w:val="00767341"/>
    <w:rsid w:val="00770949"/>
    <w:rsid w:val="00772681"/>
    <w:rsid w:val="00774B0C"/>
    <w:rsid w:val="00775D15"/>
    <w:rsid w:val="0078275A"/>
    <w:rsid w:val="00783283"/>
    <w:rsid w:val="007842D7"/>
    <w:rsid w:val="00784C4B"/>
    <w:rsid w:val="0078511F"/>
    <w:rsid w:val="00790B7A"/>
    <w:rsid w:val="00793802"/>
    <w:rsid w:val="007941AF"/>
    <w:rsid w:val="007A18AA"/>
    <w:rsid w:val="007A79A7"/>
    <w:rsid w:val="007B2440"/>
    <w:rsid w:val="007B2DAF"/>
    <w:rsid w:val="007B2F16"/>
    <w:rsid w:val="007B61C0"/>
    <w:rsid w:val="007B69F6"/>
    <w:rsid w:val="007C0575"/>
    <w:rsid w:val="007C1150"/>
    <w:rsid w:val="007C1767"/>
    <w:rsid w:val="007C1D89"/>
    <w:rsid w:val="007C4B3B"/>
    <w:rsid w:val="007C54A0"/>
    <w:rsid w:val="007C5BC8"/>
    <w:rsid w:val="007C6054"/>
    <w:rsid w:val="007C635F"/>
    <w:rsid w:val="007C66EA"/>
    <w:rsid w:val="007D3293"/>
    <w:rsid w:val="007E0C8A"/>
    <w:rsid w:val="007E3687"/>
    <w:rsid w:val="007E3A80"/>
    <w:rsid w:val="007E4E33"/>
    <w:rsid w:val="007F045B"/>
    <w:rsid w:val="007F0601"/>
    <w:rsid w:val="007F4EE0"/>
    <w:rsid w:val="007F6D14"/>
    <w:rsid w:val="0080055B"/>
    <w:rsid w:val="008027AB"/>
    <w:rsid w:val="00804827"/>
    <w:rsid w:val="00805F37"/>
    <w:rsid w:val="008070AE"/>
    <w:rsid w:val="00807C04"/>
    <w:rsid w:val="00810AD0"/>
    <w:rsid w:val="0081170D"/>
    <w:rsid w:val="00811CB1"/>
    <w:rsid w:val="00815F01"/>
    <w:rsid w:val="00816CF8"/>
    <w:rsid w:val="00817E13"/>
    <w:rsid w:val="00822C3E"/>
    <w:rsid w:val="00822D3C"/>
    <w:rsid w:val="00827EC1"/>
    <w:rsid w:val="00835177"/>
    <w:rsid w:val="00837E4E"/>
    <w:rsid w:val="00844218"/>
    <w:rsid w:val="00847534"/>
    <w:rsid w:val="00850237"/>
    <w:rsid w:val="0085089F"/>
    <w:rsid w:val="00851FBE"/>
    <w:rsid w:val="00852A6F"/>
    <w:rsid w:val="008537E6"/>
    <w:rsid w:val="00855F42"/>
    <w:rsid w:val="008564AC"/>
    <w:rsid w:val="008566D9"/>
    <w:rsid w:val="00860395"/>
    <w:rsid w:val="00860BAB"/>
    <w:rsid w:val="00863A4E"/>
    <w:rsid w:val="00863F59"/>
    <w:rsid w:val="00865783"/>
    <w:rsid w:val="00866262"/>
    <w:rsid w:val="00866481"/>
    <w:rsid w:val="00870663"/>
    <w:rsid w:val="00870BBF"/>
    <w:rsid w:val="0087196C"/>
    <w:rsid w:val="00875781"/>
    <w:rsid w:val="008806D6"/>
    <w:rsid w:val="00880ABC"/>
    <w:rsid w:val="00886858"/>
    <w:rsid w:val="0088786C"/>
    <w:rsid w:val="008900E9"/>
    <w:rsid w:val="00890E57"/>
    <w:rsid w:val="00890FAB"/>
    <w:rsid w:val="00891443"/>
    <w:rsid w:val="00893D2E"/>
    <w:rsid w:val="008943F5"/>
    <w:rsid w:val="0089466B"/>
    <w:rsid w:val="008A06C3"/>
    <w:rsid w:val="008A5F4B"/>
    <w:rsid w:val="008B2024"/>
    <w:rsid w:val="008B3260"/>
    <w:rsid w:val="008B53C6"/>
    <w:rsid w:val="008C085E"/>
    <w:rsid w:val="008C10B2"/>
    <w:rsid w:val="008C2131"/>
    <w:rsid w:val="008C458D"/>
    <w:rsid w:val="008C475C"/>
    <w:rsid w:val="008C577F"/>
    <w:rsid w:val="008C6F1A"/>
    <w:rsid w:val="008C7444"/>
    <w:rsid w:val="008C76CB"/>
    <w:rsid w:val="008C77A3"/>
    <w:rsid w:val="008D05F0"/>
    <w:rsid w:val="008D3CED"/>
    <w:rsid w:val="008D48FD"/>
    <w:rsid w:val="008D4C72"/>
    <w:rsid w:val="008D5DEC"/>
    <w:rsid w:val="008D6EBE"/>
    <w:rsid w:val="008E0543"/>
    <w:rsid w:val="008E13C3"/>
    <w:rsid w:val="008E1938"/>
    <w:rsid w:val="008E2D70"/>
    <w:rsid w:val="008E7A6F"/>
    <w:rsid w:val="008F0D27"/>
    <w:rsid w:val="008F2F0C"/>
    <w:rsid w:val="008F5FA7"/>
    <w:rsid w:val="008F7032"/>
    <w:rsid w:val="008F7502"/>
    <w:rsid w:val="008F7D30"/>
    <w:rsid w:val="00903912"/>
    <w:rsid w:val="009045B7"/>
    <w:rsid w:val="0090772D"/>
    <w:rsid w:val="009123E6"/>
    <w:rsid w:val="00912DC0"/>
    <w:rsid w:val="00912EBF"/>
    <w:rsid w:val="00913494"/>
    <w:rsid w:val="0091459A"/>
    <w:rsid w:val="009158B4"/>
    <w:rsid w:val="00916054"/>
    <w:rsid w:val="00922F6B"/>
    <w:rsid w:val="00923FBF"/>
    <w:rsid w:val="009262C1"/>
    <w:rsid w:val="00926972"/>
    <w:rsid w:val="0093228B"/>
    <w:rsid w:val="0093372D"/>
    <w:rsid w:val="009405D9"/>
    <w:rsid w:val="00942501"/>
    <w:rsid w:val="00944671"/>
    <w:rsid w:val="00947B19"/>
    <w:rsid w:val="00947D6A"/>
    <w:rsid w:val="009516EB"/>
    <w:rsid w:val="00954254"/>
    <w:rsid w:val="009544CD"/>
    <w:rsid w:val="009544CE"/>
    <w:rsid w:val="00954765"/>
    <w:rsid w:val="009555E1"/>
    <w:rsid w:val="009556C4"/>
    <w:rsid w:val="00955A9B"/>
    <w:rsid w:val="009567D1"/>
    <w:rsid w:val="009619DE"/>
    <w:rsid w:val="00962815"/>
    <w:rsid w:val="00964806"/>
    <w:rsid w:val="00966395"/>
    <w:rsid w:val="00966564"/>
    <w:rsid w:val="00966C75"/>
    <w:rsid w:val="00967C83"/>
    <w:rsid w:val="00967F45"/>
    <w:rsid w:val="0097571E"/>
    <w:rsid w:val="00975789"/>
    <w:rsid w:val="00976270"/>
    <w:rsid w:val="00976717"/>
    <w:rsid w:val="00977BAB"/>
    <w:rsid w:val="00981B63"/>
    <w:rsid w:val="00984B2B"/>
    <w:rsid w:val="00990BAB"/>
    <w:rsid w:val="00990E77"/>
    <w:rsid w:val="00990FFE"/>
    <w:rsid w:val="00993011"/>
    <w:rsid w:val="00993FE7"/>
    <w:rsid w:val="00995ABE"/>
    <w:rsid w:val="00995C78"/>
    <w:rsid w:val="009A409E"/>
    <w:rsid w:val="009A4E0E"/>
    <w:rsid w:val="009B1AC1"/>
    <w:rsid w:val="009B6737"/>
    <w:rsid w:val="009B72BB"/>
    <w:rsid w:val="009C0858"/>
    <w:rsid w:val="009C0996"/>
    <w:rsid w:val="009C1181"/>
    <w:rsid w:val="009C25D3"/>
    <w:rsid w:val="009C30FF"/>
    <w:rsid w:val="009C4B40"/>
    <w:rsid w:val="009C4D4D"/>
    <w:rsid w:val="009C68C1"/>
    <w:rsid w:val="009C6955"/>
    <w:rsid w:val="009C698F"/>
    <w:rsid w:val="009E13B2"/>
    <w:rsid w:val="009E2ADE"/>
    <w:rsid w:val="009E37B6"/>
    <w:rsid w:val="009E4142"/>
    <w:rsid w:val="009E730D"/>
    <w:rsid w:val="009F22FC"/>
    <w:rsid w:val="009F3E7B"/>
    <w:rsid w:val="009F48B9"/>
    <w:rsid w:val="009F4D6F"/>
    <w:rsid w:val="009F550B"/>
    <w:rsid w:val="009F6A38"/>
    <w:rsid w:val="00A014FF"/>
    <w:rsid w:val="00A0530D"/>
    <w:rsid w:val="00A07B3E"/>
    <w:rsid w:val="00A10EE7"/>
    <w:rsid w:val="00A10F82"/>
    <w:rsid w:val="00A12E4A"/>
    <w:rsid w:val="00A14129"/>
    <w:rsid w:val="00A15170"/>
    <w:rsid w:val="00A153B3"/>
    <w:rsid w:val="00A1736E"/>
    <w:rsid w:val="00A17B83"/>
    <w:rsid w:val="00A17CE1"/>
    <w:rsid w:val="00A20409"/>
    <w:rsid w:val="00A20D1F"/>
    <w:rsid w:val="00A21F71"/>
    <w:rsid w:val="00A25306"/>
    <w:rsid w:val="00A2683C"/>
    <w:rsid w:val="00A30478"/>
    <w:rsid w:val="00A36870"/>
    <w:rsid w:val="00A3752A"/>
    <w:rsid w:val="00A409C8"/>
    <w:rsid w:val="00A40E6C"/>
    <w:rsid w:val="00A4115A"/>
    <w:rsid w:val="00A43714"/>
    <w:rsid w:val="00A45D45"/>
    <w:rsid w:val="00A51E2D"/>
    <w:rsid w:val="00A52894"/>
    <w:rsid w:val="00A54D24"/>
    <w:rsid w:val="00A62B19"/>
    <w:rsid w:val="00A6305A"/>
    <w:rsid w:val="00A6493A"/>
    <w:rsid w:val="00A73E89"/>
    <w:rsid w:val="00A74A1C"/>
    <w:rsid w:val="00A76C86"/>
    <w:rsid w:val="00A80301"/>
    <w:rsid w:val="00A81F84"/>
    <w:rsid w:val="00A84F48"/>
    <w:rsid w:val="00A859FB"/>
    <w:rsid w:val="00A868D8"/>
    <w:rsid w:val="00A8761E"/>
    <w:rsid w:val="00A93D37"/>
    <w:rsid w:val="00A94ADA"/>
    <w:rsid w:val="00A971B8"/>
    <w:rsid w:val="00AA3264"/>
    <w:rsid w:val="00AA4D5C"/>
    <w:rsid w:val="00AB0E49"/>
    <w:rsid w:val="00AB31C0"/>
    <w:rsid w:val="00AB3E11"/>
    <w:rsid w:val="00AC133E"/>
    <w:rsid w:val="00AC185B"/>
    <w:rsid w:val="00AC33AE"/>
    <w:rsid w:val="00AC5A9E"/>
    <w:rsid w:val="00AC7745"/>
    <w:rsid w:val="00AC7D79"/>
    <w:rsid w:val="00AC7D80"/>
    <w:rsid w:val="00AD03EF"/>
    <w:rsid w:val="00AD0D24"/>
    <w:rsid w:val="00AD1005"/>
    <w:rsid w:val="00AD203F"/>
    <w:rsid w:val="00AD36A2"/>
    <w:rsid w:val="00AD6CE9"/>
    <w:rsid w:val="00AD757E"/>
    <w:rsid w:val="00AD7B07"/>
    <w:rsid w:val="00AD7FD4"/>
    <w:rsid w:val="00AE170A"/>
    <w:rsid w:val="00AE264F"/>
    <w:rsid w:val="00AE7102"/>
    <w:rsid w:val="00AF1098"/>
    <w:rsid w:val="00AF178C"/>
    <w:rsid w:val="00AF53DB"/>
    <w:rsid w:val="00AF5A98"/>
    <w:rsid w:val="00AF755A"/>
    <w:rsid w:val="00B011EC"/>
    <w:rsid w:val="00B02175"/>
    <w:rsid w:val="00B05BB0"/>
    <w:rsid w:val="00B06513"/>
    <w:rsid w:val="00B10343"/>
    <w:rsid w:val="00B11A8D"/>
    <w:rsid w:val="00B11D13"/>
    <w:rsid w:val="00B14923"/>
    <w:rsid w:val="00B154A5"/>
    <w:rsid w:val="00B174A8"/>
    <w:rsid w:val="00B2446D"/>
    <w:rsid w:val="00B25074"/>
    <w:rsid w:val="00B26BB1"/>
    <w:rsid w:val="00B2745A"/>
    <w:rsid w:val="00B27E48"/>
    <w:rsid w:val="00B32171"/>
    <w:rsid w:val="00B34BE8"/>
    <w:rsid w:val="00B34CC1"/>
    <w:rsid w:val="00B353DB"/>
    <w:rsid w:val="00B424A6"/>
    <w:rsid w:val="00B4711B"/>
    <w:rsid w:val="00B52647"/>
    <w:rsid w:val="00B53158"/>
    <w:rsid w:val="00B54055"/>
    <w:rsid w:val="00B608B0"/>
    <w:rsid w:val="00B653A4"/>
    <w:rsid w:val="00B666A2"/>
    <w:rsid w:val="00B70EF2"/>
    <w:rsid w:val="00B72EBB"/>
    <w:rsid w:val="00B7471E"/>
    <w:rsid w:val="00B77B18"/>
    <w:rsid w:val="00B81828"/>
    <w:rsid w:val="00B81F6E"/>
    <w:rsid w:val="00B82A8C"/>
    <w:rsid w:val="00B83F87"/>
    <w:rsid w:val="00B86A9F"/>
    <w:rsid w:val="00B87A65"/>
    <w:rsid w:val="00B91AFD"/>
    <w:rsid w:val="00B93BB9"/>
    <w:rsid w:val="00B941D4"/>
    <w:rsid w:val="00B94534"/>
    <w:rsid w:val="00B95DD0"/>
    <w:rsid w:val="00BA0E83"/>
    <w:rsid w:val="00BB2B64"/>
    <w:rsid w:val="00BB2E4E"/>
    <w:rsid w:val="00BB4DCD"/>
    <w:rsid w:val="00BB603D"/>
    <w:rsid w:val="00BB61C1"/>
    <w:rsid w:val="00BB68E3"/>
    <w:rsid w:val="00BB716F"/>
    <w:rsid w:val="00BC20E7"/>
    <w:rsid w:val="00BC38C4"/>
    <w:rsid w:val="00BD08E1"/>
    <w:rsid w:val="00BD2D82"/>
    <w:rsid w:val="00BD30A7"/>
    <w:rsid w:val="00BD5BB0"/>
    <w:rsid w:val="00BD6F9E"/>
    <w:rsid w:val="00BD73D4"/>
    <w:rsid w:val="00BE064B"/>
    <w:rsid w:val="00BE1F4B"/>
    <w:rsid w:val="00BE3128"/>
    <w:rsid w:val="00BE4E64"/>
    <w:rsid w:val="00BE723C"/>
    <w:rsid w:val="00BF0DB1"/>
    <w:rsid w:val="00BF1E42"/>
    <w:rsid w:val="00BF2253"/>
    <w:rsid w:val="00BF7BFA"/>
    <w:rsid w:val="00C00000"/>
    <w:rsid w:val="00C00153"/>
    <w:rsid w:val="00C00D5F"/>
    <w:rsid w:val="00C01C38"/>
    <w:rsid w:val="00C02B8C"/>
    <w:rsid w:val="00C04686"/>
    <w:rsid w:val="00C1341B"/>
    <w:rsid w:val="00C14F78"/>
    <w:rsid w:val="00C15DA8"/>
    <w:rsid w:val="00C220BC"/>
    <w:rsid w:val="00C2554E"/>
    <w:rsid w:val="00C25FCB"/>
    <w:rsid w:val="00C26AC1"/>
    <w:rsid w:val="00C27A4F"/>
    <w:rsid w:val="00C3044D"/>
    <w:rsid w:val="00C30936"/>
    <w:rsid w:val="00C35019"/>
    <w:rsid w:val="00C35544"/>
    <w:rsid w:val="00C36B77"/>
    <w:rsid w:val="00C37413"/>
    <w:rsid w:val="00C37791"/>
    <w:rsid w:val="00C40693"/>
    <w:rsid w:val="00C43788"/>
    <w:rsid w:val="00C44786"/>
    <w:rsid w:val="00C45968"/>
    <w:rsid w:val="00C46F94"/>
    <w:rsid w:val="00C47D73"/>
    <w:rsid w:val="00C50EC1"/>
    <w:rsid w:val="00C510F9"/>
    <w:rsid w:val="00C54D51"/>
    <w:rsid w:val="00C56369"/>
    <w:rsid w:val="00C60A1A"/>
    <w:rsid w:val="00C6234B"/>
    <w:rsid w:val="00C6364F"/>
    <w:rsid w:val="00C63653"/>
    <w:rsid w:val="00C641FF"/>
    <w:rsid w:val="00C64281"/>
    <w:rsid w:val="00C64965"/>
    <w:rsid w:val="00C664C6"/>
    <w:rsid w:val="00C66D5E"/>
    <w:rsid w:val="00C67D15"/>
    <w:rsid w:val="00C70421"/>
    <w:rsid w:val="00C7163F"/>
    <w:rsid w:val="00C73034"/>
    <w:rsid w:val="00C75ED4"/>
    <w:rsid w:val="00C8508B"/>
    <w:rsid w:val="00C867F3"/>
    <w:rsid w:val="00C9378D"/>
    <w:rsid w:val="00C94BF9"/>
    <w:rsid w:val="00C961CD"/>
    <w:rsid w:val="00C97565"/>
    <w:rsid w:val="00CA075A"/>
    <w:rsid w:val="00CA1A94"/>
    <w:rsid w:val="00CA2DF9"/>
    <w:rsid w:val="00CA3075"/>
    <w:rsid w:val="00CB2333"/>
    <w:rsid w:val="00CB2EAF"/>
    <w:rsid w:val="00CB55D4"/>
    <w:rsid w:val="00CC02C9"/>
    <w:rsid w:val="00CC1A4A"/>
    <w:rsid w:val="00CC32E2"/>
    <w:rsid w:val="00CC553C"/>
    <w:rsid w:val="00CC6407"/>
    <w:rsid w:val="00CC6D14"/>
    <w:rsid w:val="00CC775B"/>
    <w:rsid w:val="00CC7A1E"/>
    <w:rsid w:val="00CD01C2"/>
    <w:rsid w:val="00CD13A9"/>
    <w:rsid w:val="00CD1539"/>
    <w:rsid w:val="00CD4A57"/>
    <w:rsid w:val="00CD689B"/>
    <w:rsid w:val="00CD72C7"/>
    <w:rsid w:val="00CE3C6C"/>
    <w:rsid w:val="00CE5DE3"/>
    <w:rsid w:val="00CF105B"/>
    <w:rsid w:val="00CF27FC"/>
    <w:rsid w:val="00CF31D5"/>
    <w:rsid w:val="00CF435E"/>
    <w:rsid w:val="00CF43C5"/>
    <w:rsid w:val="00D041A2"/>
    <w:rsid w:val="00D04386"/>
    <w:rsid w:val="00D11997"/>
    <w:rsid w:val="00D12BC0"/>
    <w:rsid w:val="00D1449D"/>
    <w:rsid w:val="00D15976"/>
    <w:rsid w:val="00D15CEF"/>
    <w:rsid w:val="00D168A7"/>
    <w:rsid w:val="00D16BAB"/>
    <w:rsid w:val="00D17C4C"/>
    <w:rsid w:val="00D221FA"/>
    <w:rsid w:val="00D22B66"/>
    <w:rsid w:val="00D25F31"/>
    <w:rsid w:val="00D269BE"/>
    <w:rsid w:val="00D2775D"/>
    <w:rsid w:val="00D31675"/>
    <w:rsid w:val="00D321A8"/>
    <w:rsid w:val="00D322FB"/>
    <w:rsid w:val="00D32EAF"/>
    <w:rsid w:val="00D41B4C"/>
    <w:rsid w:val="00D438C7"/>
    <w:rsid w:val="00D4517D"/>
    <w:rsid w:val="00D47042"/>
    <w:rsid w:val="00D47CBD"/>
    <w:rsid w:val="00D51A4D"/>
    <w:rsid w:val="00D51CA1"/>
    <w:rsid w:val="00D544BB"/>
    <w:rsid w:val="00D54D60"/>
    <w:rsid w:val="00D5566A"/>
    <w:rsid w:val="00D60AED"/>
    <w:rsid w:val="00D62E1B"/>
    <w:rsid w:val="00D635FD"/>
    <w:rsid w:val="00D66CEC"/>
    <w:rsid w:val="00D731A7"/>
    <w:rsid w:val="00D74F93"/>
    <w:rsid w:val="00D76AC5"/>
    <w:rsid w:val="00D77718"/>
    <w:rsid w:val="00D80C15"/>
    <w:rsid w:val="00D81D58"/>
    <w:rsid w:val="00D85E1A"/>
    <w:rsid w:val="00D90924"/>
    <w:rsid w:val="00D911B2"/>
    <w:rsid w:val="00D917DB"/>
    <w:rsid w:val="00D9187B"/>
    <w:rsid w:val="00D93060"/>
    <w:rsid w:val="00D93D3D"/>
    <w:rsid w:val="00D95694"/>
    <w:rsid w:val="00D97E5C"/>
    <w:rsid w:val="00DA7F07"/>
    <w:rsid w:val="00DB2EF1"/>
    <w:rsid w:val="00DB3CCC"/>
    <w:rsid w:val="00DB46F3"/>
    <w:rsid w:val="00DB5F64"/>
    <w:rsid w:val="00DB6D25"/>
    <w:rsid w:val="00DC18E1"/>
    <w:rsid w:val="00DC25FC"/>
    <w:rsid w:val="00DC6FCA"/>
    <w:rsid w:val="00DC76CA"/>
    <w:rsid w:val="00DD1BEB"/>
    <w:rsid w:val="00DD2A02"/>
    <w:rsid w:val="00DD2BA9"/>
    <w:rsid w:val="00DD568A"/>
    <w:rsid w:val="00DD5CDB"/>
    <w:rsid w:val="00DD5FF8"/>
    <w:rsid w:val="00DD6D1A"/>
    <w:rsid w:val="00DD7715"/>
    <w:rsid w:val="00DE3D47"/>
    <w:rsid w:val="00DE525B"/>
    <w:rsid w:val="00DE5F4F"/>
    <w:rsid w:val="00DE630D"/>
    <w:rsid w:val="00DF1197"/>
    <w:rsid w:val="00DF167B"/>
    <w:rsid w:val="00DF1B7E"/>
    <w:rsid w:val="00DF4B8C"/>
    <w:rsid w:val="00DF4D76"/>
    <w:rsid w:val="00DF5A51"/>
    <w:rsid w:val="00DF7BD7"/>
    <w:rsid w:val="00E00CB9"/>
    <w:rsid w:val="00E00EB5"/>
    <w:rsid w:val="00E012D6"/>
    <w:rsid w:val="00E01902"/>
    <w:rsid w:val="00E01D0B"/>
    <w:rsid w:val="00E03A7F"/>
    <w:rsid w:val="00E03EE5"/>
    <w:rsid w:val="00E055BF"/>
    <w:rsid w:val="00E0677B"/>
    <w:rsid w:val="00E12AF3"/>
    <w:rsid w:val="00E13B7C"/>
    <w:rsid w:val="00E14D1F"/>
    <w:rsid w:val="00E15C70"/>
    <w:rsid w:val="00E225F7"/>
    <w:rsid w:val="00E24F7F"/>
    <w:rsid w:val="00E3005C"/>
    <w:rsid w:val="00E31A8F"/>
    <w:rsid w:val="00E34444"/>
    <w:rsid w:val="00E34CF8"/>
    <w:rsid w:val="00E37A15"/>
    <w:rsid w:val="00E41758"/>
    <w:rsid w:val="00E42234"/>
    <w:rsid w:val="00E4251B"/>
    <w:rsid w:val="00E45CFF"/>
    <w:rsid w:val="00E46091"/>
    <w:rsid w:val="00E46B1A"/>
    <w:rsid w:val="00E47B0F"/>
    <w:rsid w:val="00E5251D"/>
    <w:rsid w:val="00E535F6"/>
    <w:rsid w:val="00E5540E"/>
    <w:rsid w:val="00E66AEB"/>
    <w:rsid w:val="00E67DB0"/>
    <w:rsid w:val="00E71384"/>
    <w:rsid w:val="00E7538E"/>
    <w:rsid w:val="00E75A9D"/>
    <w:rsid w:val="00E8105E"/>
    <w:rsid w:val="00E81B2D"/>
    <w:rsid w:val="00E86D58"/>
    <w:rsid w:val="00E91149"/>
    <w:rsid w:val="00E92DC5"/>
    <w:rsid w:val="00E935CA"/>
    <w:rsid w:val="00E95A4D"/>
    <w:rsid w:val="00E961BF"/>
    <w:rsid w:val="00EA122E"/>
    <w:rsid w:val="00EA4C98"/>
    <w:rsid w:val="00EA7161"/>
    <w:rsid w:val="00EB1D4F"/>
    <w:rsid w:val="00EB2C53"/>
    <w:rsid w:val="00EB499C"/>
    <w:rsid w:val="00EB7103"/>
    <w:rsid w:val="00EC0C17"/>
    <w:rsid w:val="00EC178F"/>
    <w:rsid w:val="00EC3228"/>
    <w:rsid w:val="00EC3381"/>
    <w:rsid w:val="00EC4CB8"/>
    <w:rsid w:val="00EC4D12"/>
    <w:rsid w:val="00EC5635"/>
    <w:rsid w:val="00EC723B"/>
    <w:rsid w:val="00ED74AF"/>
    <w:rsid w:val="00ED7598"/>
    <w:rsid w:val="00EE0287"/>
    <w:rsid w:val="00EE14CB"/>
    <w:rsid w:val="00EE3212"/>
    <w:rsid w:val="00EE4D54"/>
    <w:rsid w:val="00EE5732"/>
    <w:rsid w:val="00EE6431"/>
    <w:rsid w:val="00EE7B2B"/>
    <w:rsid w:val="00EF13BD"/>
    <w:rsid w:val="00EF455F"/>
    <w:rsid w:val="00EF4D04"/>
    <w:rsid w:val="00EF54D8"/>
    <w:rsid w:val="00EF5889"/>
    <w:rsid w:val="00EF5B9A"/>
    <w:rsid w:val="00EF7663"/>
    <w:rsid w:val="00F00311"/>
    <w:rsid w:val="00F020B7"/>
    <w:rsid w:val="00F0558C"/>
    <w:rsid w:val="00F07611"/>
    <w:rsid w:val="00F12C12"/>
    <w:rsid w:val="00F13F0F"/>
    <w:rsid w:val="00F15E4F"/>
    <w:rsid w:val="00F2139E"/>
    <w:rsid w:val="00F217F1"/>
    <w:rsid w:val="00F23C3C"/>
    <w:rsid w:val="00F24F11"/>
    <w:rsid w:val="00F30996"/>
    <w:rsid w:val="00F320C8"/>
    <w:rsid w:val="00F32FC9"/>
    <w:rsid w:val="00F36017"/>
    <w:rsid w:val="00F371FF"/>
    <w:rsid w:val="00F4148C"/>
    <w:rsid w:val="00F429EC"/>
    <w:rsid w:val="00F43DED"/>
    <w:rsid w:val="00F45003"/>
    <w:rsid w:val="00F450C1"/>
    <w:rsid w:val="00F47C08"/>
    <w:rsid w:val="00F5075C"/>
    <w:rsid w:val="00F54E5D"/>
    <w:rsid w:val="00F54EAC"/>
    <w:rsid w:val="00F573EB"/>
    <w:rsid w:val="00F60CB2"/>
    <w:rsid w:val="00F614FF"/>
    <w:rsid w:val="00F617B0"/>
    <w:rsid w:val="00F64889"/>
    <w:rsid w:val="00F661AC"/>
    <w:rsid w:val="00F662C0"/>
    <w:rsid w:val="00F66BAA"/>
    <w:rsid w:val="00F738F2"/>
    <w:rsid w:val="00F763B0"/>
    <w:rsid w:val="00F77A39"/>
    <w:rsid w:val="00F8019D"/>
    <w:rsid w:val="00F81D96"/>
    <w:rsid w:val="00F81DC8"/>
    <w:rsid w:val="00F823C8"/>
    <w:rsid w:val="00F83E2B"/>
    <w:rsid w:val="00F86F8C"/>
    <w:rsid w:val="00F93B4B"/>
    <w:rsid w:val="00F9418D"/>
    <w:rsid w:val="00F945FF"/>
    <w:rsid w:val="00F96DC5"/>
    <w:rsid w:val="00F97F8C"/>
    <w:rsid w:val="00FA062A"/>
    <w:rsid w:val="00FA31A0"/>
    <w:rsid w:val="00FA3997"/>
    <w:rsid w:val="00FA6C28"/>
    <w:rsid w:val="00FA76E5"/>
    <w:rsid w:val="00FB303F"/>
    <w:rsid w:val="00FB36E1"/>
    <w:rsid w:val="00FB37BF"/>
    <w:rsid w:val="00FC55DA"/>
    <w:rsid w:val="00FC5884"/>
    <w:rsid w:val="00FC5F77"/>
    <w:rsid w:val="00FD07B8"/>
    <w:rsid w:val="00FD0890"/>
    <w:rsid w:val="00FD240C"/>
    <w:rsid w:val="00FD2868"/>
    <w:rsid w:val="00FD414C"/>
    <w:rsid w:val="00FD4310"/>
    <w:rsid w:val="00FD5080"/>
    <w:rsid w:val="00FD5423"/>
    <w:rsid w:val="00FD6DCC"/>
    <w:rsid w:val="00FE1A4C"/>
    <w:rsid w:val="00FE247C"/>
    <w:rsid w:val="00FE32D5"/>
    <w:rsid w:val="00FE3BD7"/>
    <w:rsid w:val="00FE53E5"/>
    <w:rsid w:val="00FF3709"/>
    <w:rsid w:val="00FF54F8"/>
    <w:rsid w:val="00FF5840"/>
    <w:rsid w:val="00FF6094"/>
    <w:rsid w:val="010674BD"/>
    <w:rsid w:val="01092E43"/>
    <w:rsid w:val="010D1849"/>
    <w:rsid w:val="012071E5"/>
    <w:rsid w:val="015C15C8"/>
    <w:rsid w:val="017E757F"/>
    <w:rsid w:val="019571A4"/>
    <w:rsid w:val="019F3337"/>
    <w:rsid w:val="01C66A79"/>
    <w:rsid w:val="01D11587"/>
    <w:rsid w:val="01F34FBF"/>
    <w:rsid w:val="01FA3B0F"/>
    <w:rsid w:val="0205655E"/>
    <w:rsid w:val="021F5FF2"/>
    <w:rsid w:val="02213639"/>
    <w:rsid w:val="024A1251"/>
    <w:rsid w:val="0293294A"/>
    <w:rsid w:val="02E958D7"/>
    <w:rsid w:val="02F43C68"/>
    <w:rsid w:val="03475CFA"/>
    <w:rsid w:val="03572688"/>
    <w:rsid w:val="03655221"/>
    <w:rsid w:val="037F0043"/>
    <w:rsid w:val="039E087E"/>
    <w:rsid w:val="03A74A80"/>
    <w:rsid w:val="03CA4BC5"/>
    <w:rsid w:val="03CC39DC"/>
    <w:rsid w:val="03D52F56"/>
    <w:rsid w:val="03D6425B"/>
    <w:rsid w:val="03E43571"/>
    <w:rsid w:val="041F5954"/>
    <w:rsid w:val="042774DD"/>
    <w:rsid w:val="04815754"/>
    <w:rsid w:val="048F148B"/>
    <w:rsid w:val="04A57DAB"/>
    <w:rsid w:val="04D64EC4"/>
    <w:rsid w:val="04E0470D"/>
    <w:rsid w:val="04EA2A9E"/>
    <w:rsid w:val="050C0A55"/>
    <w:rsid w:val="050E0185"/>
    <w:rsid w:val="056117E3"/>
    <w:rsid w:val="059858CE"/>
    <w:rsid w:val="05A45750"/>
    <w:rsid w:val="05DB4B95"/>
    <w:rsid w:val="05E042B0"/>
    <w:rsid w:val="05EB078A"/>
    <w:rsid w:val="05F0469A"/>
    <w:rsid w:val="06175983"/>
    <w:rsid w:val="06530D6C"/>
    <w:rsid w:val="0696055B"/>
    <w:rsid w:val="06F01EEF"/>
    <w:rsid w:val="071B0F93"/>
    <w:rsid w:val="07684137"/>
    <w:rsid w:val="076C4050"/>
    <w:rsid w:val="077A1E53"/>
    <w:rsid w:val="079061F5"/>
    <w:rsid w:val="07C81BD2"/>
    <w:rsid w:val="07EC0F21"/>
    <w:rsid w:val="07FE462A"/>
    <w:rsid w:val="08793F74"/>
    <w:rsid w:val="088F6118"/>
    <w:rsid w:val="08A17D6F"/>
    <w:rsid w:val="08C1733A"/>
    <w:rsid w:val="08F03C6E"/>
    <w:rsid w:val="08F316BF"/>
    <w:rsid w:val="08F97A0D"/>
    <w:rsid w:val="08FF54D2"/>
    <w:rsid w:val="0906705B"/>
    <w:rsid w:val="090A4C73"/>
    <w:rsid w:val="09141BF4"/>
    <w:rsid w:val="09483348"/>
    <w:rsid w:val="09485AF6"/>
    <w:rsid w:val="094C42A4"/>
    <w:rsid w:val="095F2F6D"/>
    <w:rsid w:val="09B713FD"/>
    <w:rsid w:val="09D30D2D"/>
    <w:rsid w:val="09E74439"/>
    <w:rsid w:val="0A0A43FE"/>
    <w:rsid w:val="0A600591"/>
    <w:rsid w:val="0A6C77BC"/>
    <w:rsid w:val="0A897246"/>
    <w:rsid w:val="0A945568"/>
    <w:rsid w:val="0A9B0776"/>
    <w:rsid w:val="0ACB3BD6"/>
    <w:rsid w:val="0AD514F4"/>
    <w:rsid w:val="0AEC727C"/>
    <w:rsid w:val="0AF023FF"/>
    <w:rsid w:val="0B067E26"/>
    <w:rsid w:val="0B701A53"/>
    <w:rsid w:val="0B74045A"/>
    <w:rsid w:val="0B95098E"/>
    <w:rsid w:val="0BAD6035"/>
    <w:rsid w:val="0BBB664F"/>
    <w:rsid w:val="0BC25FDA"/>
    <w:rsid w:val="0BC33A5C"/>
    <w:rsid w:val="0BDF4AD6"/>
    <w:rsid w:val="0BF01FA1"/>
    <w:rsid w:val="0BFC7F84"/>
    <w:rsid w:val="0C157FE3"/>
    <w:rsid w:val="0C3B2421"/>
    <w:rsid w:val="0C6D0671"/>
    <w:rsid w:val="0C7A1F06"/>
    <w:rsid w:val="0C7B7987"/>
    <w:rsid w:val="0C88742A"/>
    <w:rsid w:val="0C8B34A5"/>
    <w:rsid w:val="0C8D3125"/>
    <w:rsid w:val="0C973A34"/>
    <w:rsid w:val="0CC14878"/>
    <w:rsid w:val="0D023166"/>
    <w:rsid w:val="0D47524D"/>
    <w:rsid w:val="0D4D7CE0"/>
    <w:rsid w:val="0D5810BE"/>
    <w:rsid w:val="0D5D37FD"/>
    <w:rsid w:val="0D612203"/>
    <w:rsid w:val="0D6C2793"/>
    <w:rsid w:val="0D7B2DAD"/>
    <w:rsid w:val="0DB01F82"/>
    <w:rsid w:val="0DCB05AE"/>
    <w:rsid w:val="0DF54C75"/>
    <w:rsid w:val="0E080413"/>
    <w:rsid w:val="0E0B1397"/>
    <w:rsid w:val="0E18253E"/>
    <w:rsid w:val="0E2B76CE"/>
    <w:rsid w:val="0E516288"/>
    <w:rsid w:val="0E6E5472"/>
    <w:rsid w:val="0E947C84"/>
    <w:rsid w:val="0EAA1841"/>
    <w:rsid w:val="0F2478E6"/>
    <w:rsid w:val="0F656151"/>
    <w:rsid w:val="0F72710F"/>
    <w:rsid w:val="0F732640"/>
    <w:rsid w:val="0F7450E6"/>
    <w:rsid w:val="0F8D020F"/>
    <w:rsid w:val="0FC64EF0"/>
    <w:rsid w:val="0FCD487B"/>
    <w:rsid w:val="0FD34206"/>
    <w:rsid w:val="0FE679A4"/>
    <w:rsid w:val="100C1DE2"/>
    <w:rsid w:val="1012756E"/>
    <w:rsid w:val="102610A8"/>
    <w:rsid w:val="10293910"/>
    <w:rsid w:val="1046543F"/>
    <w:rsid w:val="105F3DEA"/>
    <w:rsid w:val="106172ED"/>
    <w:rsid w:val="10A92F65"/>
    <w:rsid w:val="10B10E08"/>
    <w:rsid w:val="10FB74EC"/>
    <w:rsid w:val="110A1D05"/>
    <w:rsid w:val="111D76A0"/>
    <w:rsid w:val="11205973"/>
    <w:rsid w:val="11226C32"/>
    <w:rsid w:val="11321BC4"/>
    <w:rsid w:val="113B4A52"/>
    <w:rsid w:val="11440BE5"/>
    <w:rsid w:val="115F398D"/>
    <w:rsid w:val="116B3023"/>
    <w:rsid w:val="11853BCD"/>
    <w:rsid w:val="11A30BFE"/>
    <w:rsid w:val="11CA68BF"/>
    <w:rsid w:val="11E703BE"/>
    <w:rsid w:val="12010F98"/>
    <w:rsid w:val="12180BBD"/>
    <w:rsid w:val="12375BEF"/>
    <w:rsid w:val="126C0647"/>
    <w:rsid w:val="127534D5"/>
    <w:rsid w:val="127D6363"/>
    <w:rsid w:val="1288274F"/>
    <w:rsid w:val="12905384"/>
    <w:rsid w:val="12A44024"/>
    <w:rsid w:val="12FC46B3"/>
    <w:rsid w:val="1319070A"/>
    <w:rsid w:val="132E0705"/>
    <w:rsid w:val="134A2234"/>
    <w:rsid w:val="13596D81"/>
    <w:rsid w:val="1376540A"/>
    <w:rsid w:val="139A32B7"/>
    <w:rsid w:val="13A938D2"/>
    <w:rsid w:val="13B079DA"/>
    <w:rsid w:val="13C60FE1"/>
    <w:rsid w:val="13C61B7D"/>
    <w:rsid w:val="13D46914"/>
    <w:rsid w:val="13F63A4E"/>
    <w:rsid w:val="140F3276"/>
    <w:rsid w:val="143940BA"/>
    <w:rsid w:val="14514FE4"/>
    <w:rsid w:val="1458496F"/>
    <w:rsid w:val="145E36BB"/>
    <w:rsid w:val="1475158F"/>
    <w:rsid w:val="148235B5"/>
    <w:rsid w:val="14B43A04"/>
    <w:rsid w:val="14BC5C88"/>
    <w:rsid w:val="1556100F"/>
    <w:rsid w:val="15640325"/>
    <w:rsid w:val="15690F34"/>
    <w:rsid w:val="15B75BB0"/>
    <w:rsid w:val="15BD7ABA"/>
    <w:rsid w:val="15DF7C6E"/>
    <w:rsid w:val="15EF5D0A"/>
    <w:rsid w:val="15FB0B06"/>
    <w:rsid w:val="1634517A"/>
    <w:rsid w:val="16421F11"/>
    <w:rsid w:val="16527FAD"/>
    <w:rsid w:val="16574435"/>
    <w:rsid w:val="16591B36"/>
    <w:rsid w:val="165F72C3"/>
    <w:rsid w:val="167A58EE"/>
    <w:rsid w:val="168E2390"/>
    <w:rsid w:val="169E262B"/>
    <w:rsid w:val="16A51FB6"/>
    <w:rsid w:val="16A56732"/>
    <w:rsid w:val="16D910E9"/>
    <w:rsid w:val="16F91A40"/>
    <w:rsid w:val="174B01C5"/>
    <w:rsid w:val="17797A0F"/>
    <w:rsid w:val="178725A8"/>
    <w:rsid w:val="17A12966"/>
    <w:rsid w:val="17B346F1"/>
    <w:rsid w:val="17B67874"/>
    <w:rsid w:val="18322A41"/>
    <w:rsid w:val="1842080A"/>
    <w:rsid w:val="184A00E8"/>
    <w:rsid w:val="18501FF1"/>
    <w:rsid w:val="18535174"/>
    <w:rsid w:val="187C55DD"/>
    <w:rsid w:val="189B6BED"/>
    <w:rsid w:val="18A20777"/>
    <w:rsid w:val="18A534D3"/>
    <w:rsid w:val="18D731CF"/>
    <w:rsid w:val="190F3F20"/>
    <w:rsid w:val="199003FF"/>
    <w:rsid w:val="19BF149E"/>
    <w:rsid w:val="19C65056"/>
    <w:rsid w:val="19D20E68"/>
    <w:rsid w:val="19D67B51"/>
    <w:rsid w:val="19F63627"/>
    <w:rsid w:val="1A1F47EB"/>
    <w:rsid w:val="1A761976"/>
    <w:rsid w:val="1A7F2286"/>
    <w:rsid w:val="1A8D159C"/>
    <w:rsid w:val="1A9D50B9"/>
    <w:rsid w:val="1AAB65CD"/>
    <w:rsid w:val="1ACE0937"/>
    <w:rsid w:val="1AD2428E"/>
    <w:rsid w:val="1ADC0421"/>
    <w:rsid w:val="1AFD2B54"/>
    <w:rsid w:val="1B4048C2"/>
    <w:rsid w:val="1BBB420C"/>
    <w:rsid w:val="1BC5039F"/>
    <w:rsid w:val="1BCB22A8"/>
    <w:rsid w:val="1BD532D5"/>
    <w:rsid w:val="1BDB6CBF"/>
    <w:rsid w:val="1BE31B4D"/>
    <w:rsid w:val="1C091D8D"/>
    <w:rsid w:val="1C2019B2"/>
    <w:rsid w:val="1C3E3104"/>
    <w:rsid w:val="1CC57F42"/>
    <w:rsid w:val="1CCB58A7"/>
    <w:rsid w:val="1CE56278"/>
    <w:rsid w:val="1D0A73B1"/>
    <w:rsid w:val="1D0C6137"/>
    <w:rsid w:val="1D623A4C"/>
    <w:rsid w:val="1D7D3E6D"/>
    <w:rsid w:val="1D7D76F0"/>
    <w:rsid w:val="1DAB750C"/>
    <w:rsid w:val="1DC57AE4"/>
    <w:rsid w:val="1DDB1C88"/>
    <w:rsid w:val="1DE67DD4"/>
    <w:rsid w:val="1DF041AC"/>
    <w:rsid w:val="1DF660B5"/>
    <w:rsid w:val="1E1E39F6"/>
    <w:rsid w:val="1E27207F"/>
    <w:rsid w:val="1E2F2BC0"/>
    <w:rsid w:val="1E4538B6"/>
    <w:rsid w:val="1E47263C"/>
    <w:rsid w:val="1E682B71"/>
    <w:rsid w:val="1E6E02FD"/>
    <w:rsid w:val="1E7459F5"/>
    <w:rsid w:val="1E9E304B"/>
    <w:rsid w:val="1EEF62CD"/>
    <w:rsid w:val="1F4A3163"/>
    <w:rsid w:val="1F8B19CE"/>
    <w:rsid w:val="1FC00BA4"/>
    <w:rsid w:val="1FC972B5"/>
    <w:rsid w:val="1FEE3C71"/>
    <w:rsid w:val="2006711A"/>
    <w:rsid w:val="20204F99"/>
    <w:rsid w:val="2026764F"/>
    <w:rsid w:val="20323461"/>
    <w:rsid w:val="205C0102"/>
    <w:rsid w:val="2072424B"/>
    <w:rsid w:val="20872D16"/>
    <w:rsid w:val="209C728D"/>
    <w:rsid w:val="20AC451D"/>
    <w:rsid w:val="20E83E89"/>
    <w:rsid w:val="20ED3B94"/>
    <w:rsid w:val="210567FF"/>
    <w:rsid w:val="2113274F"/>
    <w:rsid w:val="211D0AE0"/>
    <w:rsid w:val="21436B21"/>
    <w:rsid w:val="21583244"/>
    <w:rsid w:val="21725FEC"/>
    <w:rsid w:val="21754D72"/>
    <w:rsid w:val="21772473"/>
    <w:rsid w:val="21A864C6"/>
    <w:rsid w:val="21AB524C"/>
    <w:rsid w:val="21AC0E0B"/>
    <w:rsid w:val="21C3512D"/>
    <w:rsid w:val="22165FEF"/>
    <w:rsid w:val="221B5C87"/>
    <w:rsid w:val="22241693"/>
    <w:rsid w:val="22241C62"/>
    <w:rsid w:val="22282297"/>
    <w:rsid w:val="22420C43"/>
    <w:rsid w:val="22815FBB"/>
    <w:rsid w:val="22937748"/>
    <w:rsid w:val="22952C4B"/>
    <w:rsid w:val="22973BD0"/>
    <w:rsid w:val="22A144DF"/>
    <w:rsid w:val="22A45464"/>
    <w:rsid w:val="22A86539"/>
    <w:rsid w:val="22AB6FED"/>
    <w:rsid w:val="22B01277"/>
    <w:rsid w:val="22DB388A"/>
    <w:rsid w:val="22EC5858"/>
    <w:rsid w:val="22FE0FF6"/>
    <w:rsid w:val="230A00C9"/>
    <w:rsid w:val="232C416F"/>
    <w:rsid w:val="236A6126"/>
    <w:rsid w:val="237A41C3"/>
    <w:rsid w:val="238A6657"/>
    <w:rsid w:val="23906366"/>
    <w:rsid w:val="239F6098"/>
    <w:rsid w:val="23C123B8"/>
    <w:rsid w:val="23C12BD0"/>
    <w:rsid w:val="23D47D54"/>
    <w:rsid w:val="2406436E"/>
    <w:rsid w:val="241059BB"/>
    <w:rsid w:val="24295260"/>
    <w:rsid w:val="24412907"/>
    <w:rsid w:val="2458777C"/>
    <w:rsid w:val="246805C8"/>
    <w:rsid w:val="2489657E"/>
    <w:rsid w:val="2491720E"/>
    <w:rsid w:val="24975894"/>
    <w:rsid w:val="24B009BC"/>
    <w:rsid w:val="24B8164C"/>
    <w:rsid w:val="24EB0BA1"/>
    <w:rsid w:val="24F05395"/>
    <w:rsid w:val="25171665"/>
    <w:rsid w:val="252157F8"/>
    <w:rsid w:val="25707312"/>
    <w:rsid w:val="257D482F"/>
    <w:rsid w:val="259F60C6"/>
    <w:rsid w:val="25A14E4D"/>
    <w:rsid w:val="25A2704B"/>
    <w:rsid w:val="25D14317"/>
    <w:rsid w:val="25E06B30"/>
    <w:rsid w:val="25F74556"/>
    <w:rsid w:val="261A5A10"/>
    <w:rsid w:val="26B84614"/>
    <w:rsid w:val="26CF423A"/>
    <w:rsid w:val="26E87362"/>
    <w:rsid w:val="27004A09"/>
    <w:rsid w:val="27090101"/>
    <w:rsid w:val="274554FD"/>
    <w:rsid w:val="27486217"/>
    <w:rsid w:val="27532294"/>
    <w:rsid w:val="27C17045"/>
    <w:rsid w:val="27D24D61"/>
    <w:rsid w:val="27D310C0"/>
    <w:rsid w:val="281227BE"/>
    <w:rsid w:val="2833607F"/>
    <w:rsid w:val="28753671"/>
    <w:rsid w:val="287732F1"/>
    <w:rsid w:val="28844B85"/>
    <w:rsid w:val="288C5814"/>
    <w:rsid w:val="288D0D17"/>
    <w:rsid w:val="289E0FB2"/>
    <w:rsid w:val="28A67165"/>
    <w:rsid w:val="28DA5593"/>
    <w:rsid w:val="28DB3015"/>
    <w:rsid w:val="29082BE0"/>
    <w:rsid w:val="29105A6E"/>
    <w:rsid w:val="29652F79"/>
    <w:rsid w:val="296D0386"/>
    <w:rsid w:val="29AC58EC"/>
    <w:rsid w:val="29B204D0"/>
    <w:rsid w:val="29B35277"/>
    <w:rsid w:val="29BA0485"/>
    <w:rsid w:val="29C0238E"/>
    <w:rsid w:val="29FE7C75"/>
    <w:rsid w:val="2A152375"/>
    <w:rsid w:val="2A2F0444"/>
    <w:rsid w:val="2A3F4E5B"/>
    <w:rsid w:val="2A552882"/>
    <w:rsid w:val="2A8B2D5C"/>
    <w:rsid w:val="2A903429"/>
    <w:rsid w:val="2A9F0A9A"/>
    <w:rsid w:val="2AAE6793"/>
    <w:rsid w:val="2B1E3053"/>
    <w:rsid w:val="2B347CF1"/>
    <w:rsid w:val="2B575927"/>
    <w:rsid w:val="2B696EC7"/>
    <w:rsid w:val="2B987A16"/>
    <w:rsid w:val="2B9C641C"/>
    <w:rsid w:val="2BA86FDA"/>
    <w:rsid w:val="2BB66FC6"/>
    <w:rsid w:val="2BBB344E"/>
    <w:rsid w:val="2BEB619B"/>
    <w:rsid w:val="2BFD51BC"/>
    <w:rsid w:val="2C2E2107"/>
    <w:rsid w:val="2C9777A9"/>
    <w:rsid w:val="2C9C413F"/>
    <w:rsid w:val="2CDC0FA6"/>
    <w:rsid w:val="2CDD22AB"/>
    <w:rsid w:val="2D323F34"/>
    <w:rsid w:val="2D466457"/>
    <w:rsid w:val="2D660F0B"/>
    <w:rsid w:val="2D7E65B1"/>
    <w:rsid w:val="2DA232EE"/>
    <w:rsid w:val="2DB77A10"/>
    <w:rsid w:val="2DE417D9"/>
    <w:rsid w:val="2DE95C61"/>
    <w:rsid w:val="2DF1306D"/>
    <w:rsid w:val="2DF36570"/>
    <w:rsid w:val="2DFA177E"/>
    <w:rsid w:val="2E153E3E"/>
    <w:rsid w:val="2E2C1BCD"/>
    <w:rsid w:val="2E2D1718"/>
    <w:rsid w:val="2E3D56EB"/>
    <w:rsid w:val="2E447274"/>
    <w:rsid w:val="2E482640"/>
    <w:rsid w:val="2E6433AC"/>
    <w:rsid w:val="2E6F4561"/>
    <w:rsid w:val="2E75104B"/>
    <w:rsid w:val="2E8944E5"/>
    <w:rsid w:val="2E955D79"/>
    <w:rsid w:val="2EBB0B87"/>
    <w:rsid w:val="2F010CAC"/>
    <w:rsid w:val="2F045E9D"/>
    <w:rsid w:val="2F600CC5"/>
    <w:rsid w:val="2F987F26"/>
    <w:rsid w:val="2FA7273E"/>
    <w:rsid w:val="2FB43FD3"/>
    <w:rsid w:val="2FD15B01"/>
    <w:rsid w:val="2FD8768A"/>
    <w:rsid w:val="2FE15D9B"/>
    <w:rsid w:val="303B192D"/>
    <w:rsid w:val="30520313"/>
    <w:rsid w:val="308220A2"/>
    <w:rsid w:val="30960D42"/>
    <w:rsid w:val="30C9338D"/>
    <w:rsid w:val="30DE49BA"/>
    <w:rsid w:val="30EF26D5"/>
    <w:rsid w:val="30F4495F"/>
    <w:rsid w:val="310C4204"/>
    <w:rsid w:val="314978EC"/>
    <w:rsid w:val="31570E00"/>
    <w:rsid w:val="31CC0DBF"/>
    <w:rsid w:val="31E71F55"/>
    <w:rsid w:val="31F1357D"/>
    <w:rsid w:val="31F820E3"/>
    <w:rsid w:val="327402D3"/>
    <w:rsid w:val="32786CD9"/>
    <w:rsid w:val="32A9284E"/>
    <w:rsid w:val="32B310BD"/>
    <w:rsid w:val="32D02BEB"/>
    <w:rsid w:val="330A6248"/>
    <w:rsid w:val="33111456"/>
    <w:rsid w:val="33445128"/>
    <w:rsid w:val="33483413"/>
    <w:rsid w:val="334873B2"/>
    <w:rsid w:val="334C7FB6"/>
    <w:rsid w:val="336F5D12"/>
    <w:rsid w:val="337820FF"/>
    <w:rsid w:val="33812F3E"/>
    <w:rsid w:val="338D64AA"/>
    <w:rsid w:val="33996496"/>
    <w:rsid w:val="33AE25D9"/>
    <w:rsid w:val="33C024F3"/>
    <w:rsid w:val="33D52499"/>
    <w:rsid w:val="33E47230"/>
    <w:rsid w:val="33FB26D9"/>
    <w:rsid w:val="34661D88"/>
    <w:rsid w:val="34781CA2"/>
    <w:rsid w:val="349302CD"/>
    <w:rsid w:val="34957054"/>
    <w:rsid w:val="34B82A8C"/>
    <w:rsid w:val="34D17561"/>
    <w:rsid w:val="34FD577E"/>
    <w:rsid w:val="35247BBC"/>
    <w:rsid w:val="353D6568"/>
    <w:rsid w:val="353F1A6B"/>
    <w:rsid w:val="354E1972"/>
    <w:rsid w:val="354F6482"/>
    <w:rsid w:val="3579666A"/>
    <w:rsid w:val="35BB6E36"/>
    <w:rsid w:val="35CC12CF"/>
    <w:rsid w:val="3618174E"/>
    <w:rsid w:val="3663634A"/>
    <w:rsid w:val="368B429C"/>
    <w:rsid w:val="36940D18"/>
    <w:rsid w:val="36D60888"/>
    <w:rsid w:val="36D85D44"/>
    <w:rsid w:val="36E5568C"/>
    <w:rsid w:val="36EB4FAA"/>
    <w:rsid w:val="36FB77C2"/>
    <w:rsid w:val="36FC7442"/>
    <w:rsid w:val="37111966"/>
    <w:rsid w:val="371D31FA"/>
    <w:rsid w:val="372B2510"/>
    <w:rsid w:val="374530BA"/>
    <w:rsid w:val="376B32F9"/>
    <w:rsid w:val="376F3EFE"/>
    <w:rsid w:val="37782AF2"/>
    <w:rsid w:val="37B374E9"/>
    <w:rsid w:val="37E93BC8"/>
    <w:rsid w:val="38174957"/>
    <w:rsid w:val="38401466"/>
    <w:rsid w:val="38543277"/>
    <w:rsid w:val="38797C33"/>
    <w:rsid w:val="38AA3C86"/>
    <w:rsid w:val="38B52017"/>
    <w:rsid w:val="38B82F9B"/>
    <w:rsid w:val="38BF72BF"/>
    <w:rsid w:val="38E154CB"/>
    <w:rsid w:val="38FB278B"/>
    <w:rsid w:val="392016C6"/>
    <w:rsid w:val="393051E4"/>
    <w:rsid w:val="39362D1F"/>
    <w:rsid w:val="39787B56"/>
    <w:rsid w:val="39A42825"/>
    <w:rsid w:val="39B91B24"/>
    <w:rsid w:val="39C678D5"/>
    <w:rsid w:val="39CE374C"/>
    <w:rsid w:val="3A012039"/>
    <w:rsid w:val="3A0C25C8"/>
    <w:rsid w:val="3A250919"/>
    <w:rsid w:val="3A2C08FF"/>
    <w:rsid w:val="3A3D2D97"/>
    <w:rsid w:val="3A463D88"/>
    <w:rsid w:val="3A6839D7"/>
    <w:rsid w:val="3A72569B"/>
    <w:rsid w:val="3A7E7084"/>
    <w:rsid w:val="3A840F8D"/>
    <w:rsid w:val="3A900623"/>
    <w:rsid w:val="3AB842C6"/>
    <w:rsid w:val="3AD34590"/>
    <w:rsid w:val="3AD45894"/>
    <w:rsid w:val="3AEA41B5"/>
    <w:rsid w:val="3AEF0BBF"/>
    <w:rsid w:val="3AF37043"/>
    <w:rsid w:val="3AFF14FD"/>
    <w:rsid w:val="3B083688"/>
    <w:rsid w:val="3B20202D"/>
    <w:rsid w:val="3B3C4AD4"/>
    <w:rsid w:val="3B595F51"/>
    <w:rsid w:val="3B6B3809"/>
    <w:rsid w:val="3B735CFA"/>
    <w:rsid w:val="3B7634B0"/>
    <w:rsid w:val="3B93766F"/>
    <w:rsid w:val="3B9E2D5F"/>
    <w:rsid w:val="3BA96B71"/>
    <w:rsid w:val="3BF0099B"/>
    <w:rsid w:val="3C071109"/>
    <w:rsid w:val="3C0B7B0F"/>
    <w:rsid w:val="3C113764"/>
    <w:rsid w:val="3C204232"/>
    <w:rsid w:val="3C5C4417"/>
    <w:rsid w:val="3C6149CA"/>
    <w:rsid w:val="3C7E0730"/>
    <w:rsid w:val="3C86525B"/>
    <w:rsid w:val="3C8B16E3"/>
    <w:rsid w:val="3C8D6DE4"/>
    <w:rsid w:val="3C9C4243"/>
    <w:rsid w:val="3CB47254"/>
    <w:rsid w:val="3CD24055"/>
    <w:rsid w:val="3CD73D60"/>
    <w:rsid w:val="3CD744F6"/>
    <w:rsid w:val="3CE6030F"/>
    <w:rsid w:val="3CFC071D"/>
    <w:rsid w:val="3D091FB1"/>
    <w:rsid w:val="3D3A0643"/>
    <w:rsid w:val="3D4033D4"/>
    <w:rsid w:val="3DBF29D9"/>
    <w:rsid w:val="3DF60935"/>
    <w:rsid w:val="3E0A75D5"/>
    <w:rsid w:val="3E1127E3"/>
    <w:rsid w:val="3E142693"/>
    <w:rsid w:val="3E67796F"/>
    <w:rsid w:val="3E737005"/>
    <w:rsid w:val="3E9B4946"/>
    <w:rsid w:val="3EB17E58"/>
    <w:rsid w:val="3EC76BB8"/>
    <w:rsid w:val="3ECA4190"/>
    <w:rsid w:val="3ECE0618"/>
    <w:rsid w:val="3EE13DB5"/>
    <w:rsid w:val="3EE63AC0"/>
    <w:rsid w:val="3EF37553"/>
    <w:rsid w:val="3EF717DC"/>
    <w:rsid w:val="3F0874F8"/>
    <w:rsid w:val="3F247605"/>
    <w:rsid w:val="3F4F7C6C"/>
    <w:rsid w:val="3F51536E"/>
    <w:rsid w:val="3F520BF1"/>
    <w:rsid w:val="3F921A2D"/>
    <w:rsid w:val="3F954B5E"/>
    <w:rsid w:val="3FB3410E"/>
    <w:rsid w:val="40142EAD"/>
    <w:rsid w:val="40217FC5"/>
    <w:rsid w:val="4054751A"/>
    <w:rsid w:val="40720CC9"/>
    <w:rsid w:val="40957F84"/>
    <w:rsid w:val="40AB2127"/>
    <w:rsid w:val="40C70863"/>
    <w:rsid w:val="40C761D4"/>
    <w:rsid w:val="40E04B80"/>
    <w:rsid w:val="40FA1EA6"/>
    <w:rsid w:val="411B30F9"/>
    <w:rsid w:val="413B0711"/>
    <w:rsid w:val="41471FA6"/>
    <w:rsid w:val="41684A9F"/>
    <w:rsid w:val="416A5A5B"/>
    <w:rsid w:val="41741B70"/>
    <w:rsid w:val="41A24C3E"/>
    <w:rsid w:val="41A431DD"/>
    <w:rsid w:val="41A5233F"/>
    <w:rsid w:val="41B7604A"/>
    <w:rsid w:val="41B82A13"/>
    <w:rsid w:val="41BB5632"/>
    <w:rsid w:val="41D8023A"/>
    <w:rsid w:val="41EF26D4"/>
    <w:rsid w:val="41F72149"/>
    <w:rsid w:val="41FB2D4E"/>
    <w:rsid w:val="420204DA"/>
    <w:rsid w:val="422B3F29"/>
    <w:rsid w:val="425F4FF1"/>
    <w:rsid w:val="426D560B"/>
    <w:rsid w:val="428264AA"/>
    <w:rsid w:val="42894C9A"/>
    <w:rsid w:val="428A713A"/>
    <w:rsid w:val="42A16D5F"/>
    <w:rsid w:val="42C76185"/>
    <w:rsid w:val="42CA5443"/>
    <w:rsid w:val="42DB23BC"/>
    <w:rsid w:val="431142A8"/>
    <w:rsid w:val="431C0C27"/>
    <w:rsid w:val="43553004"/>
    <w:rsid w:val="4356601F"/>
    <w:rsid w:val="43661FA0"/>
    <w:rsid w:val="437F535C"/>
    <w:rsid w:val="438F4EAF"/>
    <w:rsid w:val="43932D9E"/>
    <w:rsid w:val="43993A74"/>
    <w:rsid w:val="43BB74AB"/>
    <w:rsid w:val="43DD0CE5"/>
    <w:rsid w:val="441703A0"/>
    <w:rsid w:val="44197845"/>
    <w:rsid w:val="441A52C7"/>
    <w:rsid w:val="443538F2"/>
    <w:rsid w:val="445C4E7E"/>
    <w:rsid w:val="448B2102"/>
    <w:rsid w:val="448C1D82"/>
    <w:rsid w:val="44965F15"/>
    <w:rsid w:val="44B868BD"/>
    <w:rsid w:val="44D04DF5"/>
    <w:rsid w:val="44D43DDA"/>
    <w:rsid w:val="44DC5CFF"/>
    <w:rsid w:val="44E1664B"/>
    <w:rsid w:val="44E8249C"/>
    <w:rsid w:val="45321617"/>
    <w:rsid w:val="45367B31"/>
    <w:rsid w:val="45420BD0"/>
    <w:rsid w:val="455C39CB"/>
    <w:rsid w:val="456A1771"/>
    <w:rsid w:val="45765583"/>
    <w:rsid w:val="4583011C"/>
    <w:rsid w:val="46015167"/>
    <w:rsid w:val="4603646C"/>
    <w:rsid w:val="462F49B1"/>
    <w:rsid w:val="46414364"/>
    <w:rsid w:val="46607580"/>
    <w:rsid w:val="466D0367"/>
    <w:rsid w:val="468261CE"/>
    <w:rsid w:val="468B1848"/>
    <w:rsid w:val="46B72B6B"/>
    <w:rsid w:val="46BA2397"/>
    <w:rsid w:val="46BE4621"/>
    <w:rsid w:val="46D851CA"/>
    <w:rsid w:val="47384336"/>
    <w:rsid w:val="47461F7B"/>
    <w:rsid w:val="47531291"/>
    <w:rsid w:val="476F4539"/>
    <w:rsid w:val="47721B46"/>
    <w:rsid w:val="47A45B98"/>
    <w:rsid w:val="47EA2A89"/>
    <w:rsid w:val="48312713"/>
    <w:rsid w:val="4875046F"/>
    <w:rsid w:val="48911F9D"/>
    <w:rsid w:val="48CB55FA"/>
    <w:rsid w:val="48DD0D98"/>
    <w:rsid w:val="49333D25"/>
    <w:rsid w:val="494A4EC5"/>
    <w:rsid w:val="494E5BD4"/>
    <w:rsid w:val="495751DE"/>
    <w:rsid w:val="496E73A9"/>
    <w:rsid w:val="49C0138A"/>
    <w:rsid w:val="49E25246"/>
    <w:rsid w:val="49F53DE3"/>
    <w:rsid w:val="49FF2044"/>
    <w:rsid w:val="4A1C7526"/>
    <w:rsid w:val="4A4B25F3"/>
    <w:rsid w:val="4A500C79"/>
    <w:rsid w:val="4A521558"/>
    <w:rsid w:val="4A5A1589"/>
    <w:rsid w:val="4A5B700A"/>
    <w:rsid w:val="4A622219"/>
    <w:rsid w:val="4A6A356E"/>
    <w:rsid w:val="4A9E67FA"/>
    <w:rsid w:val="4AA24F78"/>
    <w:rsid w:val="4AA371EF"/>
    <w:rsid w:val="4AB34A3B"/>
    <w:rsid w:val="4ACC3E46"/>
    <w:rsid w:val="4AE25FEA"/>
    <w:rsid w:val="4AE56F6F"/>
    <w:rsid w:val="4B033DF1"/>
    <w:rsid w:val="4B315D69"/>
    <w:rsid w:val="4B3D53FF"/>
    <w:rsid w:val="4B481211"/>
    <w:rsid w:val="4B50081C"/>
    <w:rsid w:val="4B520AF9"/>
    <w:rsid w:val="4B552AA6"/>
    <w:rsid w:val="4B573A2A"/>
    <w:rsid w:val="4B7D03E7"/>
    <w:rsid w:val="4BAF6BAD"/>
    <w:rsid w:val="4BB53DC4"/>
    <w:rsid w:val="4BC6625C"/>
    <w:rsid w:val="4BCB3ED5"/>
    <w:rsid w:val="4BCC7321"/>
    <w:rsid w:val="4BD30021"/>
    <w:rsid w:val="4BED3F1E"/>
    <w:rsid w:val="4BF87D30"/>
    <w:rsid w:val="4BFB0D59"/>
    <w:rsid w:val="4BFB4538"/>
    <w:rsid w:val="4C00513D"/>
    <w:rsid w:val="4C040016"/>
    <w:rsid w:val="4C193AE8"/>
    <w:rsid w:val="4C375AB8"/>
    <w:rsid w:val="4C43492C"/>
    <w:rsid w:val="4C537991"/>
    <w:rsid w:val="4C607EB5"/>
    <w:rsid w:val="4C694B6C"/>
    <w:rsid w:val="4C9A490D"/>
    <w:rsid w:val="4CB726ED"/>
    <w:rsid w:val="4CBE27B9"/>
    <w:rsid w:val="4CD63E9B"/>
    <w:rsid w:val="4CF621D2"/>
    <w:rsid w:val="4D077EEE"/>
    <w:rsid w:val="4D0B36D2"/>
    <w:rsid w:val="4D203016"/>
    <w:rsid w:val="4D3C2946"/>
    <w:rsid w:val="4D4322D1"/>
    <w:rsid w:val="4D47255E"/>
    <w:rsid w:val="4DA165B4"/>
    <w:rsid w:val="4DC12D25"/>
    <w:rsid w:val="4DCB79F5"/>
    <w:rsid w:val="4DDA4AF3"/>
    <w:rsid w:val="4DF158ED"/>
    <w:rsid w:val="4E0C779B"/>
    <w:rsid w:val="4E2415BF"/>
    <w:rsid w:val="4E633F70"/>
    <w:rsid w:val="4E7D2313"/>
    <w:rsid w:val="4E861663"/>
    <w:rsid w:val="4EA37CC9"/>
    <w:rsid w:val="4EB04A26"/>
    <w:rsid w:val="4EBA0BB9"/>
    <w:rsid w:val="4EBA2C77"/>
    <w:rsid w:val="4EC27981"/>
    <w:rsid w:val="4ECD6554"/>
    <w:rsid w:val="4EE151F5"/>
    <w:rsid w:val="4EE72982"/>
    <w:rsid w:val="4EE80403"/>
    <w:rsid w:val="4F33177C"/>
    <w:rsid w:val="4F396F09"/>
    <w:rsid w:val="4F403C62"/>
    <w:rsid w:val="4F416513"/>
    <w:rsid w:val="4F6A5905"/>
    <w:rsid w:val="4F6D065C"/>
    <w:rsid w:val="4F78446F"/>
    <w:rsid w:val="4F7B56A0"/>
    <w:rsid w:val="4F9672A2"/>
    <w:rsid w:val="4F9B7EA7"/>
    <w:rsid w:val="4FB542D4"/>
    <w:rsid w:val="4FC357E8"/>
    <w:rsid w:val="4FCB2FE5"/>
    <w:rsid w:val="4FD41305"/>
    <w:rsid w:val="50053443"/>
    <w:rsid w:val="500F7E65"/>
    <w:rsid w:val="501A1A7A"/>
    <w:rsid w:val="50583ADD"/>
    <w:rsid w:val="507E5F1B"/>
    <w:rsid w:val="50966E45"/>
    <w:rsid w:val="50BD1283"/>
    <w:rsid w:val="50C34894"/>
    <w:rsid w:val="50CC3A9C"/>
    <w:rsid w:val="50D17F23"/>
    <w:rsid w:val="50E336C1"/>
    <w:rsid w:val="50F1625A"/>
    <w:rsid w:val="50FA6B69"/>
    <w:rsid w:val="50FF3A54"/>
    <w:rsid w:val="5139722B"/>
    <w:rsid w:val="51611DCB"/>
    <w:rsid w:val="51627812"/>
    <w:rsid w:val="516A26A0"/>
    <w:rsid w:val="517045AA"/>
    <w:rsid w:val="519B66F3"/>
    <w:rsid w:val="51AD2F43"/>
    <w:rsid w:val="51B15013"/>
    <w:rsid w:val="51B43D99"/>
    <w:rsid w:val="520B222A"/>
    <w:rsid w:val="5219153F"/>
    <w:rsid w:val="522143CD"/>
    <w:rsid w:val="522F36E3"/>
    <w:rsid w:val="523B5C10"/>
    <w:rsid w:val="5245110A"/>
    <w:rsid w:val="526B6A6F"/>
    <w:rsid w:val="526C140C"/>
    <w:rsid w:val="526F66CB"/>
    <w:rsid w:val="52817C6A"/>
    <w:rsid w:val="528B2778"/>
    <w:rsid w:val="52A358B7"/>
    <w:rsid w:val="52A41123"/>
    <w:rsid w:val="52C05AA3"/>
    <w:rsid w:val="535B4F47"/>
    <w:rsid w:val="53832D10"/>
    <w:rsid w:val="53A24E1A"/>
    <w:rsid w:val="53AA393C"/>
    <w:rsid w:val="53EF765B"/>
    <w:rsid w:val="54196D37"/>
    <w:rsid w:val="54223567"/>
    <w:rsid w:val="545B07F5"/>
    <w:rsid w:val="545F13F9"/>
    <w:rsid w:val="54812C33"/>
    <w:rsid w:val="54943E52"/>
    <w:rsid w:val="54A540EC"/>
    <w:rsid w:val="54B13782"/>
    <w:rsid w:val="54EB0FDD"/>
    <w:rsid w:val="55062E8C"/>
    <w:rsid w:val="552674BB"/>
    <w:rsid w:val="55744EBA"/>
    <w:rsid w:val="55854A5F"/>
    <w:rsid w:val="55AE23A0"/>
    <w:rsid w:val="55B15523"/>
    <w:rsid w:val="55B7742C"/>
    <w:rsid w:val="55F50176"/>
    <w:rsid w:val="55F93719"/>
    <w:rsid w:val="56440315"/>
    <w:rsid w:val="56530930"/>
    <w:rsid w:val="565C123F"/>
    <w:rsid w:val="56825BFB"/>
    <w:rsid w:val="568C0709"/>
    <w:rsid w:val="56A33BB2"/>
    <w:rsid w:val="56BA06F8"/>
    <w:rsid w:val="56C879B2"/>
    <w:rsid w:val="570E0243"/>
    <w:rsid w:val="57212282"/>
    <w:rsid w:val="57316C99"/>
    <w:rsid w:val="573D632F"/>
    <w:rsid w:val="574E07C7"/>
    <w:rsid w:val="577E6D98"/>
    <w:rsid w:val="5783216E"/>
    <w:rsid w:val="57855B7A"/>
    <w:rsid w:val="578E7032"/>
    <w:rsid w:val="57905DB9"/>
    <w:rsid w:val="57B62D57"/>
    <w:rsid w:val="57BB0DFB"/>
    <w:rsid w:val="57CF0838"/>
    <w:rsid w:val="57DE5EB8"/>
    <w:rsid w:val="580A43FE"/>
    <w:rsid w:val="58252838"/>
    <w:rsid w:val="582B01B6"/>
    <w:rsid w:val="58405261"/>
    <w:rsid w:val="5866735B"/>
    <w:rsid w:val="587250A7"/>
    <w:rsid w:val="58772B96"/>
    <w:rsid w:val="588F2458"/>
    <w:rsid w:val="58907EDA"/>
    <w:rsid w:val="58D802CE"/>
    <w:rsid w:val="58DA7055"/>
    <w:rsid w:val="58FA6B24"/>
    <w:rsid w:val="58FF4DBF"/>
    <w:rsid w:val="5924294C"/>
    <w:rsid w:val="59497308"/>
    <w:rsid w:val="59527DD6"/>
    <w:rsid w:val="597C0DDC"/>
    <w:rsid w:val="59873B11"/>
    <w:rsid w:val="59885EF4"/>
    <w:rsid w:val="59910D81"/>
    <w:rsid w:val="59965209"/>
    <w:rsid w:val="59AA5F42"/>
    <w:rsid w:val="59B15A33"/>
    <w:rsid w:val="59E81790"/>
    <w:rsid w:val="5A010945"/>
    <w:rsid w:val="5A1B5462"/>
    <w:rsid w:val="5A6324F4"/>
    <w:rsid w:val="5A6B64E6"/>
    <w:rsid w:val="5A8741E0"/>
    <w:rsid w:val="5AA65046"/>
    <w:rsid w:val="5AAB4E9D"/>
    <w:rsid w:val="5B144564"/>
    <w:rsid w:val="5B2E6224"/>
    <w:rsid w:val="5B3326AC"/>
    <w:rsid w:val="5B663E7D"/>
    <w:rsid w:val="5B80602E"/>
    <w:rsid w:val="5B813AB0"/>
    <w:rsid w:val="5B9217CC"/>
    <w:rsid w:val="5B9339CA"/>
    <w:rsid w:val="5B9F77DD"/>
    <w:rsid w:val="5BEE2DDF"/>
    <w:rsid w:val="5C366A56"/>
    <w:rsid w:val="5CB660AB"/>
    <w:rsid w:val="5CC55041"/>
    <w:rsid w:val="5CC62AC2"/>
    <w:rsid w:val="5D086DAF"/>
    <w:rsid w:val="5D0F673A"/>
    <w:rsid w:val="5D242E5C"/>
    <w:rsid w:val="5D292B67"/>
    <w:rsid w:val="5D643C45"/>
    <w:rsid w:val="5DAE4330"/>
    <w:rsid w:val="5DEA73A2"/>
    <w:rsid w:val="5DEE5DA8"/>
    <w:rsid w:val="5E0E40DE"/>
    <w:rsid w:val="5E1B597B"/>
    <w:rsid w:val="5E261785"/>
    <w:rsid w:val="5E471CBA"/>
    <w:rsid w:val="5E482FBE"/>
    <w:rsid w:val="5E5D3E5D"/>
    <w:rsid w:val="5E6429CF"/>
    <w:rsid w:val="5E7B340D"/>
    <w:rsid w:val="5E7E4392"/>
    <w:rsid w:val="5EA57AD5"/>
    <w:rsid w:val="5EA65556"/>
    <w:rsid w:val="5EC52588"/>
    <w:rsid w:val="5EC83637"/>
    <w:rsid w:val="5ED12F23"/>
    <w:rsid w:val="5ED42BA2"/>
    <w:rsid w:val="5EF75A6E"/>
    <w:rsid w:val="5F205220"/>
    <w:rsid w:val="5F2C3231"/>
    <w:rsid w:val="5F4131D6"/>
    <w:rsid w:val="5F4466A0"/>
    <w:rsid w:val="5F4B3AE6"/>
    <w:rsid w:val="5F8800C7"/>
    <w:rsid w:val="5FAC7002"/>
    <w:rsid w:val="5FB23ABB"/>
    <w:rsid w:val="5FC73C5D"/>
    <w:rsid w:val="5FEE32EF"/>
    <w:rsid w:val="60530A95"/>
    <w:rsid w:val="607D10ED"/>
    <w:rsid w:val="60952803"/>
    <w:rsid w:val="609D3493"/>
    <w:rsid w:val="609F2A6A"/>
    <w:rsid w:val="60A24097"/>
    <w:rsid w:val="60BD242D"/>
    <w:rsid w:val="60BD26C3"/>
    <w:rsid w:val="60D535ED"/>
    <w:rsid w:val="610F24CD"/>
    <w:rsid w:val="612B657A"/>
    <w:rsid w:val="613B0970"/>
    <w:rsid w:val="613F521A"/>
    <w:rsid w:val="615D47CA"/>
    <w:rsid w:val="6198112C"/>
    <w:rsid w:val="61A274BD"/>
    <w:rsid w:val="61E5122B"/>
    <w:rsid w:val="61E97D5C"/>
    <w:rsid w:val="62072EA7"/>
    <w:rsid w:val="62086E62"/>
    <w:rsid w:val="621C5B02"/>
    <w:rsid w:val="621F230A"/>
    <w:rsid w:val="62597850"/>
    <w:rsid w:val="62AA4632"/>
    <w:rsid w:val="62D35631"/>
    <w:rsid w:val="62DC4EC2"/>
    <w:rsid w:val="62E07315"/>
    <w:rsid w:val="62F7456C"/>
    <w:rsid w:val="63037AE1"/>
    <w:rsid w:val="638A6D22"/>
    <w:rsid w:val="63957005"/>
    <w:rsid w:val="63A05C7E"/>
    <w:rsid w:val="63A80B0C"/>
    <w:rsid w:val="63D0424F"/>
    <w:rsid w:val="63DF6A68"/>
    <w:rsid w:val="63FD619D"/>
    <w:rsid w:val="64091E2A"/>
    <w:rsid w:val="642B3664"/>
    <w:rsid w:val="64374EF8"/>
    <w:rsid w:val="64472F94"/>
    <w:rsid w:val="64726966"/>
    <w:rsid w:val="64AB2CB8"/>
    <w:rsid w:val="64BD6456"/>
    <w:rsid w:val="64C634E2"/>
    <w:rsid w:val="65033347"/>
    <w:rsid w:val="650C61D5"/>
    <w:rsid w:val="65857988"/>
    <w:rsid w:val="658F67AE"/>
    <w:rsid w:val="65BD5FF9"/>
    <w:rsid w:val="65BE14E4"/>
    <w:rsid w:val="65C8438A"/>
    <w:rsid w:val="65DA33AA"/>
    <w:rsid w:val="660C01C1"/>
    <w:rsid w:val="66115A83"/>
    <w:rsid w:val="663F52CD"/>
    <w:rsid w:val="66414053"/>
    <w:rsid w:val="66590BEE"/>
    <w:rsid w:val="665B4BFD"/>
    <w:rsid w:val="6667518D"/>
    <w:rsid w:val="66B56591"/>
    <w:rsid w:val="66B650BF"/>
    <w:rsid w:val="66C54F1E"/>
    <w:rsid w:val="66CB5E39"/>
    <w:rsid w:val="66E128D8"/>
    <w:rsid w:val="66E53B82"/>
    <w:rsid w:val="66E97CE4"/>
    <w:rsid w:val="671C39B6"/>
    <w:rsid w:val="676F1242"/>
    <w:rsid w:val="677B7253"/>
    <w:rsid w:val="677F5C59"/>
    <w:rsid w:val="678768E9"/>
    <w:rsid w:val="67A34B94"/>
    <w:rsid w:val="67AB5824"/>
    <w:rsid w:val="67E46C83"/>
    <w:rsid w:val="67FD1DAB"/>
    <w:rsid w:val="680C0D40"/>
    <w:rsid w:val="680E2045"/>
    <w:rsid w:val="685314B5"/>
    <w:rsid w:val="68822004"/>
    <w:rsid w:val="68B66FDB"/>
    <w:rsid w:val="68BD30E3"/>
    <w:rsid w:val="68C47E28"/>
    <w:rsid w:val="68EA1A6E"/>
    <w:rsid w:val="690412D8"/>
    <w:rsid w:val="693604FF"/>
    <w:rsid w:val="693974CB"/>
    <w:rsid w:val="693E2985"/>
    <w:rsid w:val="694F5ED5"/>
    <w:rsid w:val="6991693E"/>
    <w:rsid w:val="69A555DF"/>
    <w:rsid w:val="69A70AE2"/>
    <w:rsid w:val="69B013F1"/>
    <w:rsid w:val="69E90652"/>
    <w:rsid w:val="69F022AD"/>
    <w:rsid w:val="6A0C40E4"/>
    <w:rsid w:val="6A100511"/>
    <w:rsid w:val="6A1F57EE"/>
    <w:rsid w:val="6A1F701C"/>
    <w:rsid w:val="6A3F27ED"/>
    <w:rsid w:val="6A5E6092"/>
    <w:rsid w:val="6A7E0B45"/>
    <w:rsid w:val="6A953FED"/>
    <w:rsid w:val="6A997170"/>
    <w:rsid w:val="6AB1506D"/>
    <w:rsid w:val="6AC22533"/>
    <w:rsid w:val="6ACB0C44"/>
    <w:rsid w:val="6ACD1B24"/>
    <w:rsid w:val="6AD205CF"/>
    <w:rsid w:val="6AF51A88"/>
    <w:rsid w:val="6B1C3EC6"/>
    <w:rsid w:val="6B28355C"/>
    <w:rsid w:val="6B6D624F"/>
    <w:rsid w:val="6BBF2686"/>
    <w:rsid w:val="6BCB406A"/>
    <w:rsid w:val="6BE356A2"/>
    <w:rsid w:val="6C236C77"/>
    <w:rsid w:val="6C6509E5"/>
    <w:rsid w:val="6CCA211C"/>
    <w:rsid w:val="6CCE130E"/>
    <w:rsid w:val="6CE931BD"/>
    <w:rsid w:val="6D1E030E"/>
    <w:rsid w:val="6D2C4F2B"/>
    <w:rsid w:val="6D36583B"/>
    <w:rsid w:val="6D3754BB"/>
    <w:rsid w:val="6D6A4A10"/>
    <w:rsid w:val="6D6E4630"/>
    <w:rsid w:val="6DAA1F76"/>
    <w:rsid w:val="6DDF5513"/>
    <w:rsid w:val="6DF25BEE"/>
    <w:rsid w:val="6DF72075"/>
    <w:rsid w:val="6E046E42"/>
    <w:rsid w:val="6E2E4D90"/>
    <w:rsid w:val="6E79134A"/>
    <w:rsid w:val="6E997680"/>
    <w:rsid w:val="6EA1250E"/>
    <w:rsid w:val="6EA4422F"/>
    <w:rsid w:val="6EDF7DF5"/>
    <w:rsid w:val="6F2317E3"/>
    <w:rsid w:val="6F262767"/>
    <w:rsid w:val="6F4B4F26"/>
    <w:rsid w:val="6F4E2828"/>
    <w:rsid w:val="6FA75270"/>
    <w:rsid w:val="6FC04EE4"/>
    <w:rsid w:val="700F26E5"/>
    <w:rsid w:val="701E2CFF"/>
    <w:rsid w:val="70424AEC"/>
    <w:rsid w:val="708708BE"/>
    <w:rsid w:val="70932CBE"/>
    <w:rsid w:val="70940740"/>
    <w:rsid w:val="70BC6081"/>
    <w:rsid w:val="70CF6F27"/>
    <w:rsid w:val="70D97BAF"/>
    <w:rsid w:val="71010D74"/>
    <w:rsid w:val="71034277"/>
    <w:rsid w:val="71116E10"/>
    <w:rsid w:val="71255AB0"/>
    <w:rsid w:val="71275730"/>
    <w:rsid w:val="718B67E0"/>
    <w:rsid w:val="719E4475"/>
    <w:rsid w:val="71A01B77"/>
    <w:rsid w:val="71DD6C71"/>
    <w:rsid w:val="71E945A5"/>
    <w:rsid w:val="7202419A"/>
    <w:rsid w:val="72067B65"/>
    <w:rsid w:val="721E6A4D"/>
    <w:rsid w:val="72256EB1"/>
    <w:rsid w:val="722978DD"/>
    <w:rsid w:val="724441A7"/>
    <w:rsid w:val="72646214"/>
    <w:rsid w:val="72A10820"/>
    <w:rsid w:val="72B04007"/>
    <w:rsid w:val="72C95C32"/>
    <w:rsid w:val="73365490"/>
    <w:rsid w:val="733C2C1D"/>
    <w:rsid w:val="73491F32"/>
    <w:rsid w:val="73627D47"/>
    <w:rsid w:val="737E498B"/>
    <w:rsid w:val="73946B2F"/>
    <w:rsid w:val="73962032"/>
    <w:rsid w:val="73B65E2C"/>
    <w:rsid w:val="73BA3986"/>
    <w:rsid w:val="73C8364B"/>
    <w:rsid w:val="73C853E1"/>
    <w:rsid w:val="73CB1207"/>
    <w:rsid w:val="73CB7009"/>
    <w:rsid w:val="73FE4ED9"/>
    <w:rsid w:val="745D6577"/>
    <w:rsid w:val="746B330F"/>
    <w:rsid w:val="74A34644"/>
    <w:rsid w:val="74A96594"/>
    <w:rsid w:val="74AD75FB"/>
    <w:rsid w:val="7507318D"/>
    <w:rsid w:val="75073E21"/>
    <w:rsid w:val="752A2448"/>
    <w:rsid w:val="7571063E"/>
    <w:rsid w:val="7585185D"/>
    <w:rsid w:val="758A7EE3"/>
    <w:rsid w:val="758E071D"/>
    <w:rsid w:val="75AE4C20"/>
    <w:rsid w:val="75B6202C"/>
    <w:rsid w:val="75D934E5"/>
    <w:rsid w:val="75DA077B"/>
    <w:rsid w:val="75F45394"/>
    <w:rsid w:val="760F39BF"/>
    <w:rsid w:val="768E7B11"/>
    <w:rsid w:val="76984955"/>
    <w:rsid w:val="76AD22E1"/>
    <w:rsid w:val="76B344CD"/>
    <w:rsid w:val="76C05D62"/>
    <w:rsid w:val="76C778EB"/>
    <w:rsid w:val="7709745B"/>
    <w:rsid w:val="772C5091"/>
    <w:rsid w:val="77687474"/>
    <w:rsid w:val="776C16FD"/>
    <w:rsid w:val="779821C1"/>
    <w:rsid w:val="77CC2A1C"/>
    <w:rsid w:val="77ED2F50"/>
    <w:rsid w:val="77FB4464"/>
    <w:rsid w:val="77FD7967"/>
    <w:rsid w:val="7808157C"/>
    <w:rsid w:val="781370D9"/>
    <w:rsid w:val="78166313"/>
    <w:rsid w:val="78295334"/>
    <w:rsid w:val="783223C0"/>
    <w:rsid w:val="783F74D7"/>
    <w:rsid w:val="78497DE7"/>
    <w:rsid w:val="78607A0C"/>
    <w:rsid w:val="786F3C37"/>
    <w:rsid w:val="787B6037"/>
    <w:rsid w:val="78846947"/>
    <w:rsid w:val="78A7237F"/>
    <w:rsid w:val="78C0565A"/>
    <w:rsid w:val="790C7B25"/>
    <w:rsid w:val="79214247"/>
    <w:rsid w:val="792B1E42"/>
    <w:rsid w:val="797D10DD"/>
    <w:rsid w:val="79802062"/>
    <w:rsid w:val="7987746E"/>
    <w:rsid w:val="79900260"/>
    <w:rsid w:val="79ED0498"/>
    <w:rsid w:val="7A026DB8"/>
    <w:rsid w:val="7A0B54C9"/>
    <w:rsid w:val="7A2902FC"/>
    <w:rsid w:val="7A4D5F33"/>
    <w:rsid w:val="7A5720C5"/>
    <w:rsid w:val="7A656E5D"/>
    <w:rsid w:val="7A7268E5"/>
    <w:rsid w:val="7A8B1BC2"/>
    <w:rsid w:val="7AC96B81"/>
    <w:rsid w:val="7AD54B92"/>
    <w:rsid w:val="7AF45447"/>
    <w:rsid w:val="7B017676"/>
    <w:rsid w:val="7B0434E3"/>
    <w:rsid w:val="7B4413CE"/>
    <w:rsid w:val="7B735D15"/>
    <w:rsid w:val="7B8423DB"/>
    <w:rsid w:val="7B8503F5"/>
    <w:rsid w:val="7B941ACD"/>
    <w:rsid w:val="7BA763A9"/>
    <w:rsid w:val="7BE372CE"/>
    <w:rsid w:val="7BFC01F8"/>
    <w:rsid w:val="7BFD6036"/>
    <w:rsid w:val="7C2300B7"/>
    <w:rsid w:val="7C532E05"/>
    <w:rsid w:val="7C5B3A94"/>
    <w:rsid w:val="7C640B20"/>
    <w:rsid w:val="7C9032CB"/>
    <w:rsid w:val="7CA02A3A"/>
    <w:rsid w:val="7CE34C72"/>
    <w:rsid w:val="7CF81394"/>
    <w:rsid w:val="7D08162E"/>
    <w:rsid w:val="7D291B63"/>
    <w:rsid w:val="7D320274"/>
    <w:rsid w:val="7D5E45BC"/>
    <w:rsid w:val="7D9C1EA2"/>
    <w:rsid w:val="7DB24046"/>
    <w:rsid w:val="7DCB2754"/>
    <w:rsid w:val="7E0E133C"/>
    <w:rsid w:val="7E140867"/>
    <w:rsid w:val="7E230E82"/>
    <w:rsid w:val="7E315C19"/>
    <w:rsid w:val="7E384BB1"/>
    <w:rsid w:val="7E54384F"/>
    <w:rsid w:val="7E5F1BE0"/>
    <w:rsid w:val="7E83691D"/>
    <w:rsid w:val="7EAC1CDF"/>
    <w:rsid w:val="7ECF02B5"/>
    <w:rsid w:val="7ED2669C"/>
    <w:rsid w:val="7EEB300B"/>
    <w:rsid w:val="7F155E8B"/>
    <w:rsid w:val="7F207AA0"/>
    <w:rsid w:val="7F2D3532"/>
    <w:rsid w:val="7F3F10C7"/>
    <w:rsid w:val="7F4F4D6C"/>
    <w:rsid w:val="7F5C1E83"/>
    <w:rsid w:val="7F736225"/>
    <w:rsid w:val="7F7F72CD"/>
    <w:rsid w:val="7F93675A"/>
    <w:rsid w:val="7FA738EE"/>
    <w:rsid w:val="7FBE66A4"/>
    <w:rsid w:val="7FC527AC"/>
    <w:rsid w:val="7FD13CEB"/>
    <w:rsid w:val="7FDD3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60" w:after="60" w:line="480"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adjustRightInd w:val="0"/>
      <w:spacing w:line="460" w:lineRule="exact"/>
      <w:jc w:val="left"/>
      <w:textAlignment w:val="baseline"/>
      <w:outlineLvl w:val="1"/>
    </w:pPr>
    <w:rPr>
      <w:b/>
      <w:kern w:val="0"/>
      <w:sz w:val="24"/>
    </w:rPr>
  </w:style>
  <w:style w:type="paragraph" w:styleId="5">
    <w:name w:val="heading 3"/>
    <w:basedOn w:val="1"/>
    <w:next w:val="1"/>
    <w:qFormat/>
    <w:uiPriority w:val="0"/>
    <w:pPr>
      <w:adjustRightInd w:val="0"/>
      <w:spacing w:line="460" w:lineRule="exact"/>
      <w:jc w:val="left"/>
      <w:textAlignment w:val="baseline"/>
      <w:outlineLvl w:val="2"/>
    </w:pPr>
    <w:rPr>
      <w:kern w:val="0"/>
      <w:sz w:val="24"/>
    </w:rPr>
  </w:style>
  <w:style w:type="paragraph" w:styleId="6">
    <w:name w:val="heading 4"/>
    <w:basedOn w:val="1"/>
    <w:next w:val="1"/>
    <w:link w:val="8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rFonts w:ascii="Calibri" w:hAnsi="Calibri"/>
      <w:b/>
      <w:bCs/>
      <w:sz w:val="28"/>
      <w:szCs w:val="28"/>
    </w:rPr>
  </w:style>
  <w:style w:type="paragraph" w:styleId="8">
    <w:name w:val="heading 7"/>
    <w:basedOn w:val="1"/>
    <w:next w:val="1"/>
    <w:qFormat/>
    <w:uiPriority w:val="0"/>
    <w:pPr>
      <w:keepNext/>
      <w:keepLines/>
      <w:spacing w:before="240" w:after="64" w:line="317" w:lineRule="auto"/>
      <w:outlineLvl w:val="6"/>
    </w:pPr>
    <w:rPr>
      <w:rFonts w:ascii="Calibri" w:hAnsi="Calibri"/>
      <w:b/>
      <w:bCs/>
    </w:rPr>
  </w:style>
  <w:style w:type="paragraph" w:styleId="9">
    <w:name w:val="heading 8"/>
    <w:basedOn w:val="1"/>
    <w:next w:val="1"/>
    <w:qFormat/>
    <w:uiPriority w:val="0"/>
    <w:pPr>
      <w:keepNext/>
      <w:keepLines/>
      <w:spacing w:before="240" w:after="64" w:line="317" w:lineRule="auto"/>
      <w:outlineLvl w:val="7"/>
    </w:pPr>
    <w:rPr>
      <w:rFonts w:ascii="Cambria" w:hAnsi="Cambria"/>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03"/>
      </w:tabs>
      <w:spacing w:before="120" w:after="120" w:line="360" w:lineRule="auto"/>
      <w:jc w:val="left"/>
    </w:pPr>
    <w:rPr>
      <w:rFonts w:ascii="Calibri" w:hAnsi="Calibri" w:cs="Calibri"/>
      <w:b/>
      <w:bCs/>
      <w:caps/>
      <w:sz w:val="20"/>
    </w:rPr>
  </w:style>
  <w:style w:type="paragraph" w:styleId="10">
    <w:name w:val="toc 7"/>
    <w:basedOn w:val="1"/>
    <w:next w:val="1"/>
    <w:qFormat/>
    <w:uiPriority w:val="0"/>
    <w:pPr>
      <w:spacing w:before="0" w:after="0"/>
      <w:ind w:left="1260"/>
      <w:jc w:val="left"/>
    </w:pPr>
    <w:rPr>
      <w:rFonts w:ascii="Calibri" w:hAnsi="Calibri" w:cs="Calibri"/>
      <w:sz w:val="18"/>
      <w:szCs w:val="18"/>
    </w:rPr>
  </w:style>
  <w:style w:type="paragraph" w:styleId="11">
    <w:name w:val="Normal Indent"/>
    <w:basedOn w:val="1"/>
    <w:link w:val="85"/>
    <w:qFormat/>
    <w:uiPriority w:val="0"/>
    <w:pPr>
      <w:ind w:firstLine="42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jc w:val="left"/>
    </w:pPr>
  </w:style>
  <w:style w:type="paragraph" w:styleId="14">
    <w:name w:val="Body Text"/>
    <w:basedOn w:val="1"/>
    <w:link w:val="84"/>
    <w:qFormat/>
    <w:uiPriority w:val="0"/>
    <w:pPr>
      <w:autoSpaceDE w:val="0"/>
      <w:autoSpaceDN w:val="0"/>
      <w:adjustRightInd w:val="0"/>
      <w:jc w:val="left"/>
      <w:textAlignment w:val="baseline"/>
    </w:pPr>
    <w:rPr>
      <w:rFonts w:eastAsia="仿宋_GB2312"/>
      <w:kern w:val="0"/>
      <w:sz w:val="28"/>
    </w:rPr>
  </w:style>
  <w:style w:type="paragraph" w:styleId="15">
    <w:name w:val="Body Text Indent"/>
    <w:basedOn w:val="1"/>
    <w:link w:val="92"/>
    <w:qFormat/>
    <w:uiPriority w:val="0"/>
    <w:pPr>
      <w:spacing w:before="260" w:after="260"/>
      <w:ind w:firstLine="444"/>
    </w:pPr>
    <w:rPr>
      <w:b/>
    </w:rPr>
  </w:style>
  <w:style w:type="paragraph" w:styleId="16">
    <w:name w:val="toc 5"/>
    <w:basedOn w:val="1"/>
    <w:next w:val="1"/>
    <w:qFormat/>
    <w:uiPriority w:val="0"/>
    <w:pPr>
      <w:spacing w:before="0" w:after="0"/>
      <w:ind w:left="840"/>
      <w:jc w:val="left"/>
    </w:pPr>
    <w:rPr>
      <w:rFonts w:ascii="Calibri" w:hAnsi="Calibri" w:cs="Calibri"/>
      <w:sz w:val="18"/>
      <w:szCs w:val="18"/>
    </w:rPr>
  </w:style>
  <w:style w:type="paragraph" w:styleId="17">
    <w:name w:val="toc 3"/>
    <w:basedOn w:val="1"/>
    <w:next w:val="1"/>
    <w:qFormat/>
    <w:uiPriority w:val="0"/>
    <w:pPr>
      <w:spacing w:before="0" w:after="0"/>
      <w:ind w:left="420"/>
      <w:jc w:val="left"/>
    </w:pPr>
    <w:rPr>
      <w:rFonts w:ascii="Calibri" w:hAnsi="Calibri" w:cs="Calibri"/>
      <w:i/>
      <w:iCs/>
      <w:sz w:val="20"/>
    </w:rPr>
  </w:style>
  <w:style w:type="paragraph" w:styleId="18">
    <w:name w:val="Plain Text"/>
    <w:basedOn w:val="1"/>
    <w:link w:val="81"/>
    <w:qFormat/>
    <w:uiPriority w:val="99"/>
    <w:rPr>
      <w:rFonts w:ascii="宋体" w:hAnsi="Courier New"/>
    </w:rPr>
  </w:style>
  <w:style w:type="paragraph" w:styleId="19">
    <w:name w:val="toc 8"/>
    <w:basedOn w:val="1"/>
    <w:next w:val="1"/>
    <w:qFormat/>
    <w:uiPriority w:val="0"/>
    <w:pPr>
      <w:spacing w:before="0" w:after="0"/>
      <w:ind w:left="1470"/>
      <w:jc w:val="left"/>
    </w:pPr>
    <w:rPr>
      <w:rFonts w:ascii="Calibri" w:hAnsi="Calibri" w:cs="Calibri"/>
      <w:sz w:val="18"/>
      <w:szCs w:val="18"/>
    </w:rPr>
  </w:style>
  <w:style w:type="paragraph" w:styleId="20">
    <w:name w:val="Date"/>
    <w:basedOn w:val="1"/>
    <w:next w:val="1"/>
    <w:qFormat/>
    <w:uiPriority w:val="0"/>
    <w:rPr>
      <w:sz w:val="24"/>
    </w:r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toc 4"/>
    <w:basedOn w:val="1"/>
    <w:next w:val="1"/>
    <w:qFormat/>
    <w:uiPriority w:val="39"/>
    <w:pPr>
      <w:tabs>
        <w:tab w:val="right" w:leader="dot" w:pos="9003"/>
      </w:tabs>
      <w:spacing w:before="0" w:after="0" w:line="360" w:lineRule="auto"/>
      <w:ind w:left="629"/>
      <w:jc w:val="left"/>
    </w:pPr>
    <w:rPr>
      <w:rFonts w:ascii="Calibri" w:hAnsi="Calibri" w:cs="Calibri"/>
      <w:sz w:val="18"/>
      <w:szCs w:val="18"/>
    </w:rPr>
  </w:style>
  <w:style w:type="paragraph" w:styleId="25">
    <w:name w:val="toc 6"/>
    <w:basedOn w:val="1"/>
    <w:next w:val="1"/>
    <w:qFormat/>
    <w:uiPriority w:val="0"/>
    <w:pPr>
      <w:spacing w:before="0" w:after="0"/>
      <w:ind w:left="1050"/>
      <w:jc w:val="left"/>
    </w:pPr>
    <w:rPr>
      <w:rFonts w:ascii="Calibri" w:hAnsi="Calibri" w:cs="Calibri"/>
      <w:sz w:val="18"/>
      <w:szCs w:val="18"/>
    </w:rPr>
  </w:style>
  <w:style w:type="paragraph" w:styleId="26">
    <w:name w:val="toc 2"/>
    <w:basedOn w:val="1"/>
    <w:next w:val="1"/>
    <w:qFormat/>
    <w:uiPriority w:val="0"/>
    <w:pPr>
      <w:spacing w:before="0" w:after="0"/>
      <w:ind w:left="210"/>
      <w:jc w:val="left"/>
    </w:pPr>
    <w:rPr>
      <w:rFonts w:ascii="Calibri" w:hAnsi="Calibri" w:cs="Calibri"/>
      <w:smallCaps/>
      <w:sz w:val="20"/>
    </w:rPr>
  </w:style>
  <w:style w:type="paragraph" w:styleId="27">
    <w:name w:val="toc 9"/>
    <w:basedOn w:val="1"/>
    <w:next w:val="1"/>
    <w:qFormat/>
    <w:uiPriority w:val="0"/>
    <w:pPr>
      <w:spacing w:before="0" w:after="0"/>
      <w:ind w:left="1680"/>
      <w:jc w:val="left"/>
    </w:pPr>
    <w:rPr>
      <w:rFonts w:ascii="Calibri" w:hAnsi="Calibri" w:cs="Calibri"/>
      <w:sz w:val="18"/>
      <w:szCs w:val="18"/>
    </w:rPr>
  </w:style>
  <w:style w:type="paragraph" w:styleId="28">
    <w:name w:val="Normal (Web)"/>
    <w:basedOn w:val="1"/>
    <w:qFormat/>
    <w:uiPriority w:val="0"/>
    <w:rPr>
      <w:sz w:val="24"/>
    </w:rPr>
  </w:style>
  <w:style w:type="paragraph" w:styleId="29">
    <w:name w:val="Title"/>
    <w:basedOn w:val="1"/>
    <w:link w:val="94"/>
    <w:qFormat/>
    <w:uiPriority w:val="99"/>
    <w:pPr>
      <w:spacing w:before="240" w:line="360" w:lineRule="auto"/>
      <w:ind w:firstLine="200" w:firstLineChars="200"/>
      <w:jc w:val="center"/>
      <w:outlineLvl w:val="0"/>
    </w:pPr>
    <w:rPr>
      <w:rFonts w:ascii="Arial" w:hAnsi="Arial" w:cs="Arial"/>
      <w:b/>
      <w:bCs/>
      <w:sz w:val="32"/>
      <w:szCs w:val="32"/>
    </w:rPr>
  </w:style>
  <w:style w:type="paragraph" w:styleId="30">
    <w:name w:val="annotation subject"/>
    <w:basedOn w:val="13"/>
    <w:next w:val="13"/>
    <w:semiHidden/>
    <w:qFormat/>
    <w:uiPriority w:val="0"/>
    <w:rPr>
      <w:b/>
      <w:bCs/>
    </w:rPr>
  </w:style>
  <w:style w:type="paragraph" w:styleId="31">
    <w:name w:val="Body Text First Indent"/>
    <w:basedOn w:val="14"/>
    <w:link w:val="87"/>
    <w:qFormat/>
    <w:uiPriority w:val="0"/>
    <w:pPr>
      <w:adjustRightInd/>
      <w:spacing w:after="120"/>
      <w:ind w:firstLine="420" w:firstLineChars="100"/>
      <w:jc w:val="both"/>
      <w:textAlignment w:val="auto"/>
    </w:pPr>
    <w:rPr>
      <w:kern w:val="2"/>
      <w:sz w:val="21"/>
      <w:szCs w:val="24"/>
    </w:rPr>
  </w:style>
  <w:style w:type="paragraph" w:styleId="32">
    <w:name w:val="Body Text First Indent 2"/>
    <w:basedOn w:val="15"/>
    <w:unhideWhenUsed/>
    <w:qFormat/>
    <w:uiPriority w:val="99"/>
    <w:pPr>
      <w:spacing w:after="120"/>
      <w:ind w:left="420" w:leftChars="200" w:firstLine="420" w:firstLineChars="200"/>
    </w:pPr>
    <w:rPr>
      <w:b w:val="0"/>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Emphasis"/>
    <w:qFormat/>
    <w:uiPriority w:val="0"/>
    <w:rPr>
      <w:i/>
      <w:iCs/>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paragraph" w:customStyle="1" w:styleId="40">
    <w:name w:val="默认段落字体 Para Char Char Char Char"/>
    <w:basedOn w:val="1"/>
    <w:qFormat/>
    <w:uiPriority w:val="0"/>
    <w:rPr>
      <w:sz w:val="28"/>
      <w:szCs w:val="24"/>
    </w:rPr>
  </w:style>
  <w:style w:type="paragraph" w:customStyle="1" w:styleId="41">
    <w:name w:val="简单回函地址"/>
    <w:basedOn w:val="1"/>
    <w:qFormat/>
    <w:uiPriority w:val="0"/>
    <w:pPr>
      <w:adjustRightInd w:val="0"/>
      <w:spacing w:line="460" w:lineRule="exact"/>
      <w:ind w:firstLine="510"/>
      <w:jc w:val="left"/>
      <w:textAlignment w:val="baseline"/>
    </w:pPr>
    <w:rPr>
      <w:kern w:val="0"/>
      <w:sz w:val="24"/>
    </w:rPr>
  </w:style>
  <w:style w:type="paragraph" w:customStyle="1" w:styleId="42">
    <w:name w:val="A表格文字"/>
    <w:basedOn w:val="1"/>
    <w:qFormat/>
    <w:uiPriority w:val="0"/>
    <w:pPr>
      <w:adjustRightInd w:val="0"/>
      <w:snapToGrid w:val="0"/>
      <w:spacing w:before="40" w:after="40"/>
      <w:jc w:val="left"/>
    </w:pPr>
    <w:rPr>
      <w:rFonts w:ascii="Arial" w:hAnsi="Arial"/>
      <w:kern w:val="21"/>
      <w:sz w:val="20"/>
      <w:szCs w:val="24"/>
    </w:rPr>
  </w:style>
  <w:style w:type="paragraph" w:customStyle="1" w:styleId="43">
    <w:name w:val="样式1"/>
    <w:basedOn w:val="1"/>
    <w:qFormat/>
    <w:uiPriority w:val="0"/>
    <w:pPr>
      <w:adjustRightInd w:val="0"/>
      <w:spacing w:line="420" w:lineRule="auto"/>
      <w:ind w:firstLine="510"/>
      <w:jc w:val="center"/>
      <w:textAlignment w:val="baseline"/>
    </w:pPr>
    <w:rPr>
      <w:rFonts w:ascii="宋体"/>
      <w:kern w:val="0"/>
      <w:sz w:val="24"/>
    </w:rPr>
  </w:style>
  <w:style w:type="paragraph" w:customStyle="1" w:styleId="44">
    <w:name w:val="A专用条款说明"/>
    <w:basedOn w:val="1"/>
    <w:next w:val="1"/>
    <w:qFormat/>
    <w:uiPriority w:val="0"/>
    <w:pPr>
      <w:adjustRightInd w:val="0"/>
      <w:snapToGrid w:val="0"/>
      <w:spacing w:line="360" w:lineRule="auto"/>
      <w:ind w:firstLine="510"/>
    </w:pPr>
    <w:rPr>
      <w:rFonts w:ascii="楷体_GB2312" w:eastAsia="楷体_GB2312"/>
      <w:kern w:val="0"/>
      <w:sz w:val="24"/>
      <w:szCs w:val="24"/>
    </w:rPr>
  </w:style>
  <w:style w:type="paragraph" w:customStyle="1" w:styleId="45">
    <w:name w:val="标题4"/>
    <w:basedOn w:val="6"/>
    <w:next w:val="1"/>
    <w:qFormat/>
    <w:uiPriority w:val="0"/>
    <w:rPr>
      <w:rFonts w:ascii="Times New Roman" w:hAnsi="Times New Roman" w:eastAsia="宋体"/>
      <w:b w:val="0"/>
      <w:kern w:val="0"/>
      <w:sz w:val="20"/>
    </w:rPr>
  </w:style>
  <w:style w:type="paragraph" w:customStyle="1" w:styleId="46">
    <w:name w:val="内容"/>
    <w:basedOn w:val="1"/>
    <w:link w:val="96"/>
    <w:qFormat/>
    <w:uiPriority w:val="0"/>
    <w:pPr>
      <w:spacing w:line="360" w:lineRule="auto"/>
      <w:ind w:firstLine="560" w:firstLineChars="200"/>
    </w:pPr>
    <w:rPr>
      <w:rFonts w:cs="宋体"/>
      <w:sz w:val="24"/>
      <w:szCs w:val="28"/>
    </w:rPr>
  </w:style>
  <w:style w:type="paragraph" w:customStyle="1" w:styleId="47">
    <w:name w:val="样式 样式 正文（首行缩进两字） + 首行缩进:  2 字符 +"/>
    <w:basedOn w:val="1"/>
    <w:link w:val="88"/>
    <w:qFormat/>
    <w:uiPriority w:val="0"/>
    <w:pPr>
      <w:spacing w:before="100" w:beforeAutospacing="1" w:after="100" w:afterAutospacing="1" w:line="360" w:lineRule="auto"/>
      <w:ind w:firstLine="200" w:firstLineChars="200"/>
    </w:pPr>
    <w:rPr>
      <w:kern w:val="0"/>
      <w:sz w:val="24"/>
    </w:rPr>
  </w:style>
  <w:style w:type="paragraph" w:customStyle="1" w:styleId="48">
    <w:name w:val="样式 首行缩进:  0.74 厘米1"/>
    <w:basedOn w:val="1"/>
    <w:qFormat/>
    <w:uiPriority w:val="0"/>
    <w:pPr>
      <w:spacing w:line="360" w:lineRule="auto"/>
      <w:ind w:firstLine="420"/>
    </w:pPr>
    <w:rPr>
      <w:rFonts w:cs="宋体"/>
      <w:sz w:val="28"/>
    </w:rPr>
  </w:style>
  <w:style w:type="paragraph" w:customStyle="1" w:styleId="49">
    <w:name w:val="样式 标题A + 段后: 0.5 行"/>
    <w:basedOn w:val="1"/>
    <w:qFormat/>
    <w:uiPriority w:val="0"/>
    <w:pPr>
      <w:spacing w:before="120" w:afterLines="30" w:line="360" w:lineRule="auto"/>
      <w:jc w:val="center"/>
    </w:pPr>
    <w:rPr>
      <w:rFonts w:eastAsia="黑体" w:cs="宋体"/>
    </w:rPr>
  </w:style>
  <w:style w:type="paragraph" w:customStyle="1" w:styleId="50">
    <w:name w:val="样式 四号 行距: 固定值 25 磅"/>
    <w:basedOn w:val="1"/>
    <w:qFormat/>
    <w:uiPriority w:val="0"/>
    <w:pPr>
      <w:spacing w:line="500" w:lineRule="exact"/>
      <w:ind w:firstLine="560" w:firstLineChars="200"/>
    </w:pPr>
    <w:rPr>
      <w:rFonts w:ascii="宋体" w:hAnsi="宋体"/>
      <w:kern w:val="0"/>
      <w:sz w:val="28"/>
      <w:szCs w:val="28"/>
    </w:rPr>
  </w:style>
  <w:style w:type="paragraph" w:customStyle="1" w:styleId="51">
    <w:name w:val="Table Paragraph"/>
    <w:basedOn w:val="1"/>
    <w:qFormat/>
    <w:uiPriority w:val="1"/>
  </w:style>
  <w:style w:type="paragraph" w:customStyle="1" w:styleId="52">
    <w:name w:val="A提示文"/>
    <w:basedOn w:val="1"/>
    <w:next w:val="1"/>
    <w:link w:val="89"/>
    <w:qFormat/>
    <w:uiPriority w:val="0"/>
    <w:pPr>
      <w:adjustRightInd w:val="0"/>
      <w:snapToGrid w:val="0"/>
      <w:spacing w:line="360" w:lineRule="auto"/>
      <w:ind w:firstLine="200" w:firstLineChars="200"/>
      <w:jc w:val="left"/>
    </w:pPr>
    <w:rPr>
      <w:rFonts w:ascii="Arial" w:hAnsi="Arial" w:eastAsia="楷体_GB2312"/>
      <w:kern w:val="0"/>
      <w:sz w:val="24"/>
      <w:szCs w:val="24"/>
      <w:u w:val="single"/>
    </w:rPr>
  </w:style>
  <w:style w:type="paragraph" w:customStyle="1" w:styleId="53">
    <w:name w:val="正文2"/>
    <w:basedOn w:val="1"/>
    <w:next w:val="1"/>
    <w:link w:val="91"/>
    <w:qFormat/>
    <w:uiPriority w:val="0"/>
    <w:pPr>
      <w:autoSpaceDE w:val="0"/>
      <w:autoSpaceDN w:val="0"/>
      <w:adjustRightInd w:val="0"/>
      <w:spacing w:line="360" w:lineRule="auto"/>
      <w:ind w:firstLine="200" w:firstLineChars="200"/>
    </w:pPr>
    <w:rPr>
      <w:kern w:val="0"/>
      <w:sz w:val="24"/>
    </w:rPr>
  </w:style>
  <w:style w:type="paragraph" w:customStyle="1" w:styleId="54">
    <w:name w:val="样式 小四 首行缩进:  1 厘米"/>
    <w:basedOn w:val="1"/>
    <w:qFormat/>
    <w:uiPriority w:val="0"/>
    <w:pPr>
      <w:adjustRightInd w:val="0"/>
      <w:snapToGrid w:val="0"/>
      <w:spacing w:line="360" w:lineRule="auto"/>
      <w:ind w:firstLine="567"/>
    </w:pPr>
    <w:rPr>
      <w:rFonts w:cs="宋体"/>
      <w:spacing w:val="-4"/>
      <w:kern w:val="0"/>
      <w:sz w:val="24"/>
    </w:rPr>
  </w:style>
  <w:style w:type="paragraph" w:customStyle="1" w:styleId="55">
    <w:name w:val="金沙正文+编号"/>
    <w:basedOn w:val="56"/>
    <w:qFormat/>
    <w:uiPriority w:val="0"/>
    <w:pPr>
      <w:tabs>
        <w:tab w:val="left" w:pos="1260"/>
        <w:tab w:val="left" w:pos="26875"/>
      </w:tabs>
      <w:snapToGrid w:val="0"/>
      <w:spacing w:before="0" w:after="0" w:line="480" w:lineRule="exact"/>
      <w:ind w:left="1260" w:hanging="1260"/>
    </w:pPr>
    <w:rPr>
      <w:b/>
      <w:bCs/>
    </w:rPr>
  </w:style>
  <w:style w:type="paragraph" w:customStyle="1" w:styleId="56">
    <w:name w:val="1.1.1.1"/>
    <w:basedOn w:val="1"/>
    <w:qFormat/>
    <w:uiPriority w:val="0"/>
    <w:pPr>
      <w:tabs>
        <w:tab w:val="left" w:pos="26875"/>
      </w:tabs>
      <w:autoSpaceDE w:val="0"/>
      <w:autoSpaceDN w:val="0"/>
      <w:adjustRightInd w:val="0"/>
      <w:spacing w:line="360" w:lineRule="atLeast"/>
      <w:ind w:left="1134" w:hanging="1134"/>
    </w:pPr>
    <w:rPr>
      <w:rFonts w:ascii="Arial" w:hAnsi="Arial"/>
      <w:kern w:val="0"/>
      <w:sz w:val="24"/>
    </w:rPr>
  </w:style>
  <w:style w:type="paragraph" w:customStyle="1" w:styleId="57">
    <w:name w:val="List Paragraph1"/>
    <w:basedOn w:val="1"/>
    <w:qFormat/>
    <w:uiPriority w:val="34"/>
    <w:pPr>
      <w:ind w:firstLine="420" w:firstLineChars="200"/>
    </w:pPr>
  </w:style>
  <w:style w:type="paragraph" w:customStyle="1" w:styleId="58">
    <w:name w:val="样式 首行缩进:  2 字符1"/>
    <w:basedOn w:val="1"/>
    <w:qFormat/>
    <w:uiPriority w:val="0"/>
    <w:pPr>
      <w:spacing w:line="360" w:lineRule="auto"/>
      <w:ind w:firstLine="200" w:firstLineChars="200"/>
    </w:pPr>
    <w:rPr>
      <w:rFonts w:cs="宋体"/>
      <w:kern w:val="0"/>
      <w:sz w:val="24"/>
    </w:rPr>
  </w:style>
  <w:style w:type="paragraph" w:customStyle="1" w:styleId="59">
    <w:name w:val="p0"/>
    <w:basedOn w:val="1"/>
    <w:qFormat/>
    <w:uiPriority w:val="0"/>
    <w:rPr>
      <w:kern w:val="0"/>
      <w:sz w:val="32"/>
      <w:szCs w:val="32"/>
    </w:rPr>
  </w:style>
  <w:style w:type="paragraph" w:customStyle="1" w:styleId="60">
    <w:name w:val="4 Char"/>
    <w:basedOn w:val="1"/>
    <w:qFormat/>
    <w:uiPriority w:val="0"/>
    <w:rPr>
      <w:rFonts w:eastAsia="仿宋_GB2312"/>
      <w:sz w:val="32"/>
      <w:szCs w:val="32"/>
    </w:rPr>
  </w:style>
  <w:style w:type="paragraph" w:customStyle="1" w:styleId="6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62">
    <w:name w:val="表格内容 Char"/>
    <w:qFormat/>
    <w:uiPriority w:val="0"/>
    <w:pPr>
      <w:widowControl w:val="0"/>
      <w:tabs>
        <w:tab w:val="left" w:pos="540"/>
      </w:tabs>
      <w:adjustRightInd w:val="0"/>
      <w:snapToGrid w:val="0"/>
      <w:spacing w:before="60" w:after="60" w:line="400" w:lineRule="exact"/>
      <w:jc w:val="center"/>
    </w:pPr>
    <w:rPr>
      <w:rFonts w:ascii="Times New Roman" w:hAnsi="Times New Roman" w:eastAsia="宋体" w:cs="Times New Roman"/>
      <w:sz w:val="21"/>
      <w:szCs w:val="24"/>
      <w:lang w:val="en-US" w:eastAsia="zh-CN" w:bidi="ar-SA"/>
    </w:rPr>
  </w:style>
  <w:style w:type="paragraph" w:customStyle="1" w:styleId="63">
    <w:name w:val="列表段落1"/>
    <w:basedOn w:val="1"/>
    <w:qFormat/>
    <w:uiPriority w:val="34"/>
    <w:pPr>
      <w:adjustRightInd w:val="0"/>
      <w:snapToGrid w:val="0"/>
      <w:spacing w:before="0" w:after="200" w:line="240" w:lineRule="auto"/>
      <w:ind w:firstLine="420" w:firstLineChars="200"/>
      <w:jc w:val="left"/>
    </w:pPr>
    <w:rPr>
      <w:rFonts w:ascii="Tahoma" w:hAnsi="Tahoma" w:eastAsia="微软雅黑"/>
      <w:kern w:val="0"/>
      <w:sz w:val="22"/>
      <w:szCs w:val="22"/>
    </w:rPr>
  </w:style>
  <w:style w:type="paragraph" w:customStyle="1" w:styleId="64">
    <w:name w:val="样式 标题 4 + 加粗1"/>
    <w:basedOn w:val="6"/>
    <w:qFormat/>
    <w:uiPriority w:val="0"/>
    <w:pPr>
      <w:tabs>
        <w:tab w:val="left" w:pos="540"/>
        <w:tab w:val="left" w:pos="680"/>
        <w:tab w:val="left" w:pos="1080"/>
        <w:tab w:val="left" w:pos="1440"/>
      </w:tabs>
      <w:spacing w:before="0" w:after="0" w:line="360" w:lineRule="auto"/>
    </w:pPr>
    <w:rPr>
      <w:rFonts w:ascii="黑体" w:hAnsi="黑体"/>
      <w:b w:val="0"/>
      <w:color w:val="000000"/>
      <w:kern w:val="10"/>
      <w:szCs w:val="20"/>
      <w:lang w:val="zh-CN"/>
    </w:rPr>
  </w:style>
  <w:style w:type="paragraph" w:customStyle="1" w:styleId="65">
    <w:name w:val="Char Char Char Char"/>
    <w:basedOn w:val="1"/>
    <w:qFormat/>
    <w:uiPriority w:val="0"/>
    <w:pPr>
      <w:spacing w:line="360" w:lineRule="auto"/>
      <w:ind w:firstLine="200" w:firstLineChars="200"/>
    </w:pPr>
    <w:rPr>
      <w:szCs w:val="24"/>
    </w:rPr>
  </w:style>
  <w:style w:type="paragraph" w:customStyle="1" w:styleId="66">
    <w:name w:val="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7">
    <w:name w:val="9"/>
    <w:basedOn w:val="1"/>
    <w:qFormat/>
    <w:uiPriority w:val="0"/>
    <w:pPr>
      <w:tabs>
        <w:tab w:val="left" w:pos="1191"/>
        <w:tab w:val="left" w:pos="1332"/>
      </w:tabs>
      <w:spacing w:line="460" w:lineRule="exact"/>
      <w:ind w:left="1191" w:hanging="1191"/>
    </w:pPr>
    <w:rPr>
      <w:rFonts w:ascii="Arial" w:hAnsi="Arial" w:cs="Arial"/>
      <w:szCs w:val="24"/>
    </w:rPr>
  </w:style>
  <w:style w:type="paragraph" w:customStyle="1" w:styleId="68">
    <w:name w:val="样式 超链接 + (西文) 黑体 (中文) 黑体 自动设置 无下划线"/>
    <w:basedOn w:val="1"/>
    <w:link w:val="93"/>
    <w:qFormat/>
    <w:uiPriority w:val="0"/>
    <w:pPr>
      <w:spacing w:line="360" w:lineRule="auto"/>
      <w:ind w:firstLine="560" w:firstLineChars="200"/>
    </w:pPr>
    <w:rPr>
      <w:rFonts w:ascii="黑体" w:eastAsia="黑体"/>
      <w:sz w:val="28"/>
      <w:szCs w:val="24"/>
    </w:rPr>
  </w:style>
  <w:style w:type="paragraph" w:customStyle="1" w:styleId="69">
    <w:name w:val="表格"/>
    <w:basedOn w:val="1"/>
    <w:qFormat/>
    <w:uiPriority w:val="0"/>
    <w:pPr>
      <w:spacing w:line="240" w:lineRule="atLeast"/>
      <w:jc w:val="center"/>
      <w:textAlignment w:val="center"/>
    </w:pPr>
    <w:rPr>
      <w:rFonts w:ascii="Arial" w:hAnsi="Arial"/>
    </w:rPr>
  </w:style>
  <w:style w:type="paragraph" w:customStyle="1" w:styleId="70">
    <w:name w:val="正  文"/>
    <w:basedOn w:val="1"/>
    <w:qFormat/>
    <w:uiPriority w:val="0"/>
    <w:pPr>
      <w:ind w:firstLine="200" w:firstLineChars="200"/>
      <w:textAlignment w:val="baseline"/>
    </w:pPr>
    <w:rPr>
      <w:rFonts w:ascii="Calibri" w:hAnsi="Calibri"/>
      <w:szCs w:val="28"/>
    </w:rPr>
  </w:style>
  <w:style w:type="paragraph" w:customStyle="1" w:styleId="71">
    <w:name w:val="表文靠左缩进"/>
    <w:basedOn w:val="1"/>
    <w:qFormat/>
    <w:uiPriority w:val="0"/>
    <w:pPr>
      <w:autoSpaceDE w:val="0"/>
      <w:autoSpaceDN w:val="0"/>
      <w:adjustRightInd w:val="0"/>
      <w:snapToGrid w:val="0"/>
      <w:spacing w:line="360" w:lineRule="atLeast"/>
      <w:ind w:left="113"/>
      <w:jc w:val="left"/>
      <w:textAlignment w:val="center"/>
    </w:pPr>
    <w:rPr>
      <w:rFonts w:ascii="宋体" w:hAnsi="宋体"/>
      <w:kern w:val="0"/>
    </w:rPr>
  </w:style>
  <w:style w:type="paragraph" w:customStyle="1" w:styleId="72">
    <w:name w:val="Char Char Char Char Char Char Char"/>
    <w:basedOn w:val="1"/>
    <w:qFormat/>
    <w:uiPriority w:val="0"/>
    <w:pPr>
      <w:spacing w:after="160" w:line="240" w:lineRule="exact"/>
      <w:jc w:val="left"/>
    </w:pPr>
  </w:style>
  <w:style w:type="paragraph" w:customStyle="1" w:styleId="73">
    <w:name w:val="标题1 Char Char Char Char"/>
    <w:basedOn w:val="1"/>
    <w:qFormat/>
    <w:uiPriority w:val="0"/>
    <w:rPr>
      <w:rFonts w:eastAsia="楷体_GB2312"/>
      <w:szCs w:val="21"/>
    </w:rPr>
  </w:style>
  <w:style w:type="paragraph" w:customStyle="1" w:styleId="74">
    <w:name w:val="Default"/>
    <w:qFormat/>
    <w:uiPriority w:val="0"/>
    <w:pPr>
      <w:widowControl w:val="0"/>
      <w:autoSpaceDE w:val="0"/>
      <w:autoSpaceDN w:val="0"/>
      <w:adjustRightInd w:val="0"/>
      <w:spacing w:line="360" w:lineRule="auto"/>
      <w:jc w:val="both"/>
    </w:pPr>
    <w:rPr>
      <w:rFonts w:ascii="宋体" w:hAnsi="Times New Roman" w:eastAsia="宋体" w:cs="宋体"/>
      <w:color w:val="000000"/>
      <w:sz w:val="24"/>
      <w:szCs w:val="24"/>
      <w:lang w:val="en-US" w:eastAsia="zh-CN" w:bidi="ar-SA"/>
    </w:rPr>
  </w:style>
  <w:style w:type="paragraph" w:customStyle="1" w:styleId="75">
    <w:name w:val="图表名称"/>
    <w:link w:val="83"/>
    <w:qFormat/>
    <w:uiPriority w:val="0"/>
    <w:pPr>
      <w:spacing w:before="60" w:after="60" w:line="360" w:lineRule="auto"/>
      <w:jc w:val="center"/>
    </w:pPr>
    <w:rPr>
      <w:rFonts w:ascii="Times New Roman" w:hAnsi="Times New Roman" w:eastAsia="宋体" w:cs="宋体"/>
      <w:kern w:val="2"/>
      <w:sz w:val="24"/>
      <w:lang w:val="en-US" w:eastAsia="zh-CN" w:bidi="ar-SA"/>
    </w:rPr>
  </w:style>
  <w:style w:type="paragraph" w:customStyle="1" w:styleId="76">
    <w:name w:val="列出段落1"/>
    <w:basedOn w:val="1"/>
    <w:qFormat/>
    <w:uiPriority w:val="34"/>
    <w:pPr>
      <w:ind w:firstLine="420" w:firstLineChars="200"/>
    </w:p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_Style 9"/>
    <w:basedOn w:val="1"/>
    <w:qFormat/>
    <w:uiPriority w:val="34"/>
    <w:pPr>
      <w:ind w:firstLine="420" w:firstLineChars="200"/>
    </w:pPr>
    <w:rPr>
      <w:rFonts w:ascii="Calibri" w:hAnsi="Calibri"/>
    </w:rPr>
  </w:style>
  <w:style w:type="paragraph" w:customStyle="1" w:styleId="79">
    <w:name w:val="A表格文字居中"/>
    <w:basedOn w:val="1"/>
    <w:qFormat/>
    <w:uiPriority w:val="0"/>
    <w:pPr>
      <w:adjustRightInd w:val="0"/>
      <w:jc w:val="center"/>
    </w:pPr>
    <w:rPr>
      <w:rFonts w:ascii="Arial" w:hAnsi="Arial"/>
      <w:kern w:val="21"/>
      <w:sz w:val="20"/>
    </w:rPr>
  </w:style>
  <w:style w:type="paragraph" w:customStyle="1" w:styleId="80">
    <w:name w:val="样式6"/>
    <w:basedOn w:val="23"/>
    <w:qFormat/>
    <w:uiPriority w:val="0"/>
    <w:rPr>
      <w:szCs w:val="32"/>
    </w:rPr>
  </w:style>
  <w:style w:type="character" w:customStyle="1" w:styleId="81">
    <w:name w:val="纯文本 字符"/>
    <w:link w:val="18"/>
    <w:qFormat/>
    <w:uiPriority w:val="99"/>
    <w:rPr>
      <w:rFonts w:ascii="宋体" w:hAnsi="Courier New"/>
      <w:kern w:val="2"/>
      <w:sz w:val="21"/>
    </w:rPr>
  </w:style>
  <w:style w:type="character" w:customStyle="1" w:styleId="82">
    <w:name w:val="标题 4 字符"/>
    <w:link w:val="6"/>
    <w:qFormat/>
    <w:uiPriority w:val="0"/>
    <w:rPr>
      <w:rFonts w:ascii="Arial" w:hAnsi="Arial" w:eastAsia="黑体"/>
      <w:b/>
      <w:bCs/>
      <w:kern w:val="2"/>
      <w:sz w:val="28"/>
      <w:szCs w:val="28"/>
      <w:lang w:val="en-US" w:eastAsia="zh-CN" w:bidi="ar-SA"/>
    </w:rPr>
  </w:style>
  <w:style w:type="character" w:customStyle="1" w:styleId="83">
    <w:name w:val="图表名称 Char1"/>
    <w:link w:val="75"/>
    <w:qFormat/>
    <w:uiPriority w:val="0"/>
    <w:rPr>
      <w:rFonts w:cs="宋体"/>
      <w:kern w:val="2"/>
      <w:sz w:val="24"/>
      <w:lang w:val="en-US" w:eastAsia="zh-CN" w:bidi="ar-SA"/>
    </w:rPr>
  </w:style>
  <w:style w:type="character" w:customStyle="1" w:styleId="84">
    <w:name w:val="正文文本 字符"/>
    <w:link w:val="14"/>
    <w:qFormat/>
    <w:uiPriority w:val="0"/>
    <w:rPr>
      <w:rFonts w:eastAsia="仿宋_GB2312"/>
      <w:sz w:val="28"/>
    </w:rPr>
  </w:style>
  <w:style w:type="character" w:customStyle="1" w:styleId="85">
    <w:name w:val="正文缩进 字符"/>
    <w:link w:val="11"/>
    <w:qFormat/>
    <w:uiPriority w:val="0"/>
    <w:rPr>
      <w:kern w:val="2"/>
      <w:sz w:val="21"/>
    </w:rPr>
  </w:style>
  <w:style w:type="character" w:customStyle="1" w:styleId="86">
    <w:name w:val="font11"/>
    <w:qFormat/>
    <w:uiPriority w:val="0"/>
    <w:rPr>
      <w:rFonts w:hint="eastAsia" w:ascii="宋体" w:hAnsi="宋体" w:eastAsia="宋体" w:cs="宋体"/>
      <w:color w:val="000000"/>
      <w:sz w:val="20"/>
      <w:szCs w:val="20"/>
      <w:u w:val="none"/>
    </w:rPr>
  </w:style>
  <w:style w:type="character" w:customStyle="1" w:styleId="87">
    <w:name w:val="正文文本首行缩进 字符"/>
    <w:link w:val="31"/>
    <w:qFormat/>
    <w:uiPriority w:val="0"/>
    <w:rPr>
      <w:rFonts w:eastAsia="仿宋_GB2312"/>
      <w:kern w:val="2"/>
      <w:sz w:val="21"/>
      <w:szCs w:val="24"/>
    </w:rPr>
  </w:style>
  <w:style w:type="character" w:customStyle="1" w:styleId="88">
    <w:name w:val="样式 样式 正文（首行缩进两字） + 首行缩进:  2 字符 + Char"/>
    <w:link w:val="47"/>
    <w:qFormat/>
    <w:uiPriority w:val="0"/>
    <w:rPr>
      <w:rFonts w:cs="宋体"/>
      <w:sz w:val="24"/>
    </w:rPr>
  </w:style>
  <w:style w:type="character" w:customStyle="1" w:styleId="89">
    <w:name w:val="A提示文 Char Char"/>
    <w:link w:val="52"/>
    <w:qFormat/>
    <w:uiPriority w:val="0"/>
    <w:rPr>
      <w:rFonts w:ascii="Arial" w:hAnsi="Arial" w:eastAsia="楷体_GB2312"/>
      <w:kern w:val="0"/>
      <w:sz w:val="24"/>
      <w:szCs w:val="24"/>
      <w:u w:val="single"/>
    </w:rPr>
  </w:style>
  <w:style w:type="character" w:customStyle="1" w:styleId="90">
    <w:name w:val="font01"/>
    <w:qFormat/>
    <w:uiPriority w:val="0"/>
    <w:rPr>
      <w:rFonts w:hint="default" w:ascii="Times New Roman" w:hAnsi="Times New Roman" w:cs="Times New Roman"/>
      <w:color w:val="000000"/>
      <w:sz w:val="20"/>
      <w:szCs w:val="20"/>
      <w:u w:val="none"/>
    </w:rPr>
  </w:style>
  <w:style w:type="character" w:customStyle="1" w:styleId="91">
    <w:name w:val="正文2 Char"/>
    <w:link w:val="53"/>
    <w:qFormat/>
    <w:uiPriority w:val="0"/>
    <w:rPr>
      <w:rFonts w:cs="宋体"/>
      <w:sz w:val="24"/>
    </w:rPr>
  </w:style>
  <w:style w:type="character" w:customStyle="1" w:styleId="92">
    <w:name w:val="正文文本缩进 字符"/>
    <w:link w:val="15"/>
    <w:qFormat/>
    <w:uiPriority w:val="0"/>
    <w:rPr>
      <w:rFonts w:hint="eastAsia" w:ascii="宋体" w:hAnsi="宋体" w:eastAsia="宋体" w:cs="宋体"/>
      <w:b/>
      <w:kern w:val="2"/>
      <w:sz w:val="21"/>
    </w:rPr>
  </w:style>
  <w:style w:type="character" w:customStyle="1" w:styleId="93">
    <w:name w:val="样式 超链接 + (西文) 黑体 (中文) 黑体 自动设置 无下划线 Char"/>
    <w:link w:val="68"/>
    <w:qFormat/>
    <w:uiPriority w:val="0"/>
    <w:rPr>
      <w:rFonts w:ascii="黑体" w:eastAsia="黑体"/>
      <w:kern w:val="2"/>
      <w:sz w:val="28"/>
      <w:szCs w:val="24"/>
      <w:lang w:val="en-US" w:eastAsia="zh-CN" w:bidi="ar-SA"/>
    </w:rPr>
  </w:style>
  <w:style w:type="character" w:customStyle="1" w:styleId="94">
    <w:name w:val="标题 字符"/>
    <w:link w:val="29"/>
    <w:qFormat/>
    <w:uiPriority w:val="99"/>
    <w:rPr>
      <w:rFonts w:ascii="Arial" w:hAnsi="Arial" w:cs="Arial"/>
      <w:b/>
      <w:bCs/>
      <w:kern w:val="2"/>
      <w:sz w:val="32"/>
      <w:szCs w:val="32"/>
    </w:rPr>
  </w:style>
  <w:style w:type="character" w:customStyle="1" w:styleId="95">
    <w:name w:val="zhw"/>
    <w:basedOn w:val="35"/>
    <w:qFormat/>
    <w:uiPriority w:val="0"/>
  </w:style>
  <w:style w:type="character" w:customStyle="1" w:styleId="96">
    <w:name w:val="内容 Char"/>
    <w:link w:val="46"/>
    <w:qFormat/>
    <w:uiPriority w:val="0"/>
    <w:rPr>
      <w:rFonts w:eastAsia="宋体" w:cs="宋体"/>
      <w:kern w:val="2"/>
      <w:sz w:val="24"/>
      <w:szCs w:val="28"/>
      <w:lang w:val="en-US" w:eastAsia="zh-CN" w:bidi="ar-SA"/>
    </w:rPr>
  </w:style>
  <w:style w:type="character" w:customStyle="1" w:styleId="97">
    <w:name w:val="font61"/>
    <w:basedOn w:val="35"/>
    <w:qFormat/>
    <w:uiPriority w:val="0"/>
    <w:rPr>
      <w:rFonts w:hint="eastAsia" w:ascii="宋体" w:hAnsi="宋体" w:eastAsia="宋体" w:cs="宋体"/>
      <w:color w:val="000000"/>
      <w:sz w:val="21"/>
      <w:szCs w:val="21"/>
      <w:u w:val="single"/>
    </w:rPr>
  </w:style>
  <w:style w:type="character" w:customStyle="1" w:styleId="98">
    <w:name w:val="font51"/>
    <w:basedOn w:val="3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5436</Words>
  <Characters>30987</Characters>
  <Lines>258</Lines>
  <Paragraphs>72</Paragraphs>
  <TotalTime>39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2020-03-31T00:26:00Z</dcterms:created>
  <dc:creator>sdh</dc:creator>
  <cp:lastModifiedBy>PZH</cp:lastModifiedBy>
  <cp:lastPrinted>2020-10-22T08:10:00Z</cp:lastPrinted>
  <dcterms:modified xsi:type="dcterms:W3CDTF">2021-03-02T07:24:10Z</dcterms:modified>
  <dc:title>设计招标文件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