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2.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38"/>
      </w:pPr>
    </w:p>
    <w:p>
      <w:pPr>
        <w:pStyle w:val="38"/>
      </w:pPr>
      <w:r>
        <w:rPr>
          <w:rFonts w:hint="eastAsia"/>
          <w:highlight w:val="none"/>
        </w:rPr>
        <w:t>招标编号：PZH-JS-QT-</w:t>
      </w:r>
      <w:r>
        <w:rPr>
          <w:rFonts w:hint="eastAsia"/>
          <w:highlight w:val="none"/>
        </w:rPr>
        <w:t>189</w:t>
      </w:r>
    </w:p>
    <w:p>
      <w:pPr>
        <w:pStyle w:val="37"/>
      </w:pPr>
    </w:p>
    <w:p>
      <w:pPr>
        <w:pStyle w:val="37"/>
      </w:pPr>
      <w:bookmarkStart w:id="0" w:name="_Hlk45632824"/>
      <w:r>
        <w:rPr>
          <w:rFonts w:hint="eastAsia"/>
        </w:rPr>
        <w:t>金沙江金沙水电站</w:t>
      </w:r>
    </w:p>
    <w:p>
      <w:pPr>
        <w:pStyle w:val="37"/>
      </w:pPr>
      <w:r>
        <w:rPr>
          <w:rFonts w:hint="eastAsia"/>
        </w:rPr>
        <w:t>蓄水对周边煤矿影响区域矿井突水灾害隐患治理</w:t>
      </w:r>
      <w:r>
        <w:rPr>
          <w:rFonts w:hint="eastAsia"/>
          <w:highlight w:val="none"/>
        </w:rPr>
        <w:t>工程质量检测</w:t>
      </w:r>
      <w:bookmarkEnd w:id="0"/>
      <w:r>
        <w:rPr>
          <w:rFonts w:hint="eastAsia"/>
        </w:rPr>
        <w:t>服务</w:t>
      </w:r>
    </w:p>
    <w:p>
      <w:pPr>
        <w:pStyle w:val="37"/>
      </w:pPr>
    </w:p>
    <w:p>
      <w:pPr>
        <w:pStyle w:val="66"/>
      </w:pPr>
      <w:r>
        <w:rPr>
          <w:rFonts w:hint="eastAsia"/>
        </w:rPr>
        <w:t>招标文件</w:t>
      </w:r>
    </w:p>
    <w:p>
      <w:pPr>
        <w:pStyle w:val="37"/>
      </w:pPr>
    </w:p>
    <w:p>
      <w:pPr>
        <w:pStyle w:val="37"/>
      </w:pPr>
    </w:p>
    <w:p>
      <w:pPr>
        <w:pStyle w:val="37"/>
      </w:pPr>
    </w:p>
    <w:p>
      <w:pPr>
        <w:pStyle w:val="37"/>
      </w:pPr>
    </w:p>
    <w:p>
      <w:pPr>
        <w:pStyle w:val="67"/>
      </w:pPr>
      <w:r>
        <w:rPr>
          <w:rFonts w:hint="eastAsia"/>
        </w:rPr>
        <w:t>招标人：四川省能投攀枝花水电开发有限公司</w:t>
      </w:r>
    </w:p>
    <w:p>
      <w:pPr>
        <w:pStyle w:val="67"/>
      </w:pPr>
      <w:r>
        <w:rPr>
          <w:rFonts w:hint="eastAsia"/>
        </w:rPr>
        <w:t>日  期：</w:t>
      </w:r>
      <w:r>
        <w:rPr>
          <w:rFonts w:hint="eastAsia"/>
          <w:highlight w:val="none"/>
        </w:rPr>
        <w:t>2020年</w:t>
      </w:r>
      <w:r>
        <w:rPr>
          <w:rFonts w:hint="eastAsia"/>
          <w:highlight w:val="yellow"/>
          <w:lang w:val="en-US" w:eastAsia="zh-CN"/>
        </w:rPr>
        <w:t xml:space="preserve"> </w:t>
      </w:r>
      <w:r>
        <w:rPr>
          <w:rFonts w:hint="eastAsia"/>
          <w:highlight w:val="none"/>
        </w:rPr>
        <w:t>月</w:t>
      </w:r>
    </w:p>
    <w:p>
      <w:pPr>
        <w:jc w:val="center"/>
        <w:rPr>
          <w:rFonts w:ascii="宋体" w:hAnsi="宋体"/>
          <w:b/>
          <w:bCs/>
          <w:sz w:val="32"/>
          <w:szCs w:val="32"/>
        </w:rPr>
        <w:sectPr>
          <w:headerReference r:id="rId4" w:type="default"/>
          <w:footerReference r:id="rId5" w:type="default"/>
          <w:footerReference r:id="rId6" w:type="even"/>
          <w:pgSz w:w="11906" w:h="16838"/>
          <w:pgMar w:top="1440" w:right="1440" w:bottom="1440" w:left="1440" w:header="851" w:footer="851" w:gutter="57"/>
          <w:pgNumType w:start="1"/>
          <w:cols w:space="720" w:num="1"/>
          <w:docGrid w:type="lines" w:linePitch="332" w:charSpace="-4916"/>
        </w:sectPr>
      </w:pPr>
    </w:p>
    <w:p>
      <w:pPr>
        <w:widowControl w:val="0"/>
        <w:tabs>
          <w:tab w:val="left" w:pos="561"/>
        </w:tabs>
        <w:topLinePunct w:val="1"/>
        <w:spacing w:before="0" w:after="0"/>
        <w:jc w:val="center"/>
        <w:textAlignment w:val="center"/>
        <w:rPr>
          <w:rFonts w:ascii="宋体" w:hAnsi="宋体" w:eastAsia="宋体" w:cs="Adobe ｺﾚﾌ・Std R"/>
          <w:kern w:val="0"/>
          <w:sz w:val="44"/>
          <w:szCs w:val="28"/>
        </w:rPr>
      </w:pPr>
      <w:r>
        <w:rPr>
          <w:rFonts w:hint="eastAsia" w:ascii="宋体" w:hAnsi="宋体" w:eastAsia="宋体" w:cs="Adobe ｺﾚﾌ・Std R"/>
          <w:kern w:val="0"/>
          <w:sz w:val="44"/>
          <w:szCs w:val="28"/>
        </w:rPr>
        <w:t>目录</w:t>
      </w:r>
    </w:p>
    <w:p>
      <w:pPr>
        <w:pStyle w:val="25"/>
        <w:rPr>
          <w:rFonts w:ascii="等线" w:hAnsi="等线" w:eastAsia="等线" w:cs="黑体"/>
          <w:b w:val="0"/>
          <w:bCs w:val="0"/>
          <w:caps w:val="0"/>
          <w:sz w:val="21"/>
          <w:szCs w:val="22"/>
        </w:rPr>
      </w:pPr>
      <w:r>
        <w:rPr>
          <w:rFonts w:hAnsi="宋体" w:cs="宋体"/>
          <w:szCs w:val="28"/>
        </w:rPr>
        <w:fldChar w:fldCharType="begin"/>
      </w:r>
      <w:r>
        <w:rPr>
          <w:rFonts w:hAnsi="宋体" w:cs="宋体"/>
          <w:szCs w:val="28"/>
        </w:rPr>
        <w:instrText xml:space="preserve"> </w:instrText>
      </w:r>
      <w:r>
        <w:rPr>
          <w:rFonts w:hint="eastAsia" w:hAnsi="宋体" w:cs="宋体"/>
          <w:szCs w:val="28"/>
        </w:rPr>
        <w:instrText xml:space="preserve">TOC \o "1-1" \h \z \u</w:instrText>
      </w:r>
      <w:r>
        <w:rPr>
          <w:rFonts w:hAnsi="宋体" w:cs="宋体"/>
          <w:szCs w:val="28"/>
        </w:rPr>
        <w:instrText xml:space="preserve"> </w:instrText>
      </w:r>
      <w:r>
        <w:rPr>
          <w:rFonts w:hAnsi="宋体" w:cs="宋体"/>
          <w:szCs w:val="28"/>
        </w:rPr>
        <w:fldChar w:fldCharType="separate"/>
      </w:r>
      <w:r>
        <w:fldChar w:fldCharType="begin"/>
      </w:r>
      <w:r>
        <w:instrText xml:space="preserve">HYPERLINK  \l "_Toc45613982" </w:instrText>
      </w:r>
      <w:r>
        <w:fldChar w:fldCharType="separate"/>
      </w:r>
      <w:r>
        <w:rPr>
          <w:rStyle w:val="32"/>
        </w:rPr>
        <w:t>第一章  招标公告</w:t>
      </w:r>
      <w:r>
        <w:tab/>
      </w:r>
      <w:r>
        <w:fldChar w:fldCharType="begin"/>
      </w:r>
      <w:r>
        <w:instrText xml:space="preserve"> PAGEREF _Toc45613982 \h </w:instrText>
      </w:r>
      <w:r>
        <w:fldChar w:fldCharType="separate"/>
      </w:r>
      <w:r>
        <w:t>1</w:t>
      </w:r>
      <w:r>
        <w:fldChar w:fldCharType="end"/>
      </w:r>
      <w:r>
        <w:fldChar w:fldCharType="end"/>
      </w:r>
    </w:p>
    <w:p>
      <w:pPr>
        <w:pStyle w:val="25"/>
        <w:rPr>
          <w:rFonts w:ascii="等线" w:hAnsi="等线" w:eastAsia="等线" w:cs="黑体"/>
          <w:b w:val="0"/>
          <w:bCs w:val="0"/>
          <w:caps w:val="0"/>
          <w:sz w:val="21"/>
          <w:szCs w:val="22"/>
        </w:rPr>
      </w:pPr>
      <w:r>
        <w:fldChar w:fldCharType="begin"/>
      </w:r>
      <w:r>
        <w:instrText xml:space="preserve">HYPERLINK  \l "_Toc45613983" </w:instrText>
      </w:r>
      <w:r>
        <w:fldChar w:fldCharType="separate"/>
      </w:r>
      <w:r>
        <w:rPr>
          <w:rStyle w:val="32"/>
        </w:rPr>
        <w:t>第二章  投标人须知</w:t>
      </w:r>
      <w:r>
        <w:tab/>
      </w:r>
      <w:r>
        <w:fldChar w:fldCharType="begin"/>
      </w:r>
      <w:r>
        <w:instrText xml:space="preserve"> PAGEREF _Toc45613983 \h </w:instrText>
      </w:r>
      <w:r>
        <w:fldChar w:fldCharType="separate"/>
      </w:r>
      <w:r>
        <w:t>6</w:t>
      </w:r>
      <w:r>
        <w:fldChar w:fldCharType="end"/>
      </w:r>
      <w:r>
        <w:fldChar w:fldCharType="end"/>
      </w:r>
    </w:p>
    <w:p>
      <w:pPr>
        <w:pStyle w:val="25"/>
        <w:rPr>
          <w:rFonts w:ascii="等线" w:hAnsi="等线" w:eastAsia="等线" w:cs="黑体"/>
          <w:b w:val="0"/>
          <w:bCs w:val="0"/>
          <w:caps w:val="0"/>
          <w:sz w:val="21"/>
          <w:szCs w:val="22"/>
        </w:rPr>
      </w:pPr>
      <w:r>
        <w:fldChar w:fldCharType="begin"/>
      </w:r>
      <w:r>
        <w:instrText xml:space="preserve">HYPERLINK  \l "_Toc45613984" </w:instrText>
      </w:r>
      <w:r>
        <w:fldChar w:fldCharType="separate"/>
      </w:r>
      <w:r>
        <w:rPr>
          <w:rStyle w:val="32"/>
        </w:rPr>
        <w:t>第三章  评标办法</w:t>
      </w:r>
      <w:r>
        <w:tab/>
      </w:r>
      <w:r>
        <w:fldChar w:fldCharType="begin"/>
      </w:r>
      <w:r>
        <w:instrText xml:space="preserve"> PAGEREF _Toc45613984 \h </w:instrText>
      </w:r>
      <w:r>
        <w:fldChar w:fldCharType="separate"/>
      </w:r>
      <w:r>
        <w:t>17</w:t>
      </w:r>
      <w:r>
        <w:fldChar w:fldCharType="end"/>
      </w:r>
      <w:r>
        <w:fldChar w:fldCharType="end"/>
      </w:r>
    </w:p>
    <w:p>
      <w:pPr>
        <w:pStyle w:val="25"/>
        <w:rPr>
          <w:rFonts w:ascii="等线" w:hAnsi="等线" w:eastAsia="等线" w:cs="黑体"/>
          <w:b w:val="0"/>
          <w:bCs w:val="0"/>
          <w:caps w:val="0"/>
          <w:sz w:val="21"/>
          <w:szCs w:val="22"/>
        </w:rPr>
      </w:pPr>
      <w:r>
        <w:fldChar w:fldCharType="begin"/>
      </w:r>
      <w:r>
        <w:instrText xml:space="preserve">HYPERLINK  \l "_Toc45613985" </w:instrText>
      </w:r>
      <w:r>
        <w:fldChar w:fldCharType="separate"/>
      </w:r>
      <w:r>
        <w:rPr>
          <w:rStyle w:val="32"/>
        </w:rPr>
        <w:t>第四章  合同条款及格式</w:t>
      </w:r>
      <w:r>
        <w:tab/>
      </w:r>
      <w:r>
        <w:fldChar w:fldCharType="begin"/>
      </w:r>
      <w:r>
        <w:instrText xml:space="preserve"> PAGEREF _Toc45613985 \h </w:instrText>
      </w:r>
      <w:r>
        <w:fldChar w:fldCharType="separate"/>
      </w:r>
      <w:r>
        <w:t>26</w:t>
      </w:r>
      <w:r>
        <w:fldChar w:fldCharType="end"/>
      </w:r>
      <w:r>
        <w:fldChar w:fldCharType="end"/>
      </w:r>
    </w:p>
    <w:p>
      <w:pPr>
        <w:pStyle w:val="25"/>
        <w:rPr>
          <w:rFonts w:ascii="等线" w:hAnsi="等线" w:eastAsia="等线" w:cs="黑体"/>
          <w:b w:val="0"/>
          <w:bCs w:val="0"/>
          <w:caps w:val="0"/>
          <w:sz w:val="21"/>
          <w:szCs w:val="22"/>
        </w:rPr>
      </w:pPr>
      <w:r>
        <w:fldChar w:fldCharType="begin"/>
      </w:r>
      <w:r>
        <w:instrText xml:space="preserve">HYPERLINK  \l "_Toc45613986" </w:instrText>
      </w:r>
      <w:r>
        <w:fldChar w:fldCharType="separate"/>
      </w:r>
      <w:r>
        <w:rPr>
          <w:rStyle w:val="32"/>
        </w:rPr>
        <w:t>第五章  发包人要求</w:t>
      </w:r>
      <w:r>
        <w:tab/>
      </w:r>
      <w:r>
        <w:fldChar w:fldCharType="begin"/>
      </w:r>
      <w:r>
        <w:instrText xml:space="preserve"> PAGEREF _Toc45613986 \h </w:instrText>
      </w:r>
      <w:r>
        <w:fldChar w:fldCharType="separate"/>
      </w:r>
      <w:r>
        <w:t>34</w:t>
      </w:r>
      <w:r>
        <w:fldChar w:fldCharType="end"/>
      </w:r>
      <w:r>
        <w:fldChar w:fldCharType="end"/>
      </w:r>
    </w:p>
    <w:p>
      <w:pPr>
        <w:pStyle w:val="25"/>
        <w:rPr>
          <w:rFonts w:ascii="等线" w:hAnsi="等线" w:eastAsia="等线" w:cs="黑体"/>
          <w:b w:val="0"/>
          <w:bCs w:val="0"/>
          <w:caps w:val="0"/>
          <w:sz w:val="21"/>
          <w:szCs w:val="22"/>
        </w:rPr>
      </w:pPr>
      <w:r>
        <w:fldChar w:fldCharType="begin"/>
      </w:r>
      <w:r>
        <w:instrText xml:space="preserve">HYPERLINK  \l "_Toc45613987" </w:instrText>
      </w:r>
      <w:r>
        <w:fldChar w:fldCharType="separate"/>
      </w:r>
      <w:r>
        <w:rPr>
          <w:rStyle w:val="32"/>
        </w:rPr>
        <w:t>第六章  投标文件的格式</w:t>
      </w:r>
      <w:r>
        <w:tab/>
      </w:r>
      <w:r>
        <w:fldChar w:fldCharType="begin"/>
      </w:r>
      <w:r>
        <w:instrText xml:space="preserve"> PAGEREF _Toc45613987 \h </w:instrText>
      </w:r>
      <w:r>
        <w:fldChar w:fldCharType="separate"/>
      </w:r>
      <w:r>
        <w:t>37</w:t>
      </w:r>
      <w:r>
        <w:fldChar w:fldCharType="end"/>
      </w:r>
      <w:r>
        <w:fldChar w:fldCharType="end"/>
      </w:r>
    </w:p>
    <w:p>
      <w:pPr>
        <w:pStyle w:val="25"/>
      </w:pPr>
      <w:r>
        <w:fldChar w:fldCharType="end"/>
      </w:r>
      <w:bookmarkStart w:id="1" w:name="_Toc15749"/>
      <w:bookmarkStart w:id="2" w:name="_Toc10862"/>
      <w:bookmarkStart w:id="3" w:name="_Toc317187168"/>
      <w:bookmarkStart w:id="4" w:name="_Toc317186892"/>
      <w:bookmarkStart w:id="5" w:name="_Toc317186941"/>
      <w:bookmarkStart w:id="6" w:name="_Toc317187050"/>
      <w:bookmarkStart w:id="7" w:name="_Toc337822909"/>
      <w:bookmarkStart w:id="8" w:name="_Toc337823057"/>
      <w:bookmarkStart w:id="9" w:name="_Ref317186535"/>
      <w:bookmarkStart w:id="10" w:name="_Toc317187333"/>
      <w:bookmarkStart w:id="11" w:name="_Toc317186806"/>
      <w:bookmarkStart w:id="12" w:name="_Toc317187368"/>
      <w:bookmarkStart w:id="13" w:name="_Toc317191311"/>
    </w:p>
    <w:p>
      <w:pPr>
        <w:pStyle w:val="13"/>
      </w:pPr>
    </w:p>
    <w:p>
      <w:pPr>
        <w:pStyle w:val="13"/>
        <w:sectPr>
          <w:headerReference r:id="rId7" w:type="default"/>
          <w:footerReference r:id="rId8" w:type="default"/>
          <w:pgSz w:w="11907" w:h="16840"/>
          <w:pgMar w:top="1440" w:right="1440" w:bottom="1440" w:left="1440" w:header="851" w:footer="992" w:gutter="0"/>
          <w:cols w:space="720" w:num="1"/>
          <w:docGrid w:linePitch="326" w:charSpace="0"/>
        </w:sectPr>
      </w:pPr>
    </w:p>
    <w:p>
      <w:pPr>
        <w:pStyle w:val="2"/>
      </w:pPr>
      <w:bookmarkStart w:id="14" w:name="_Toc7865"/>
      <w:bookmarkStart w:id="15" w:name="_Toc30687"/>
      <w:bookmarkStart w:id="16" w:name="_Toc1351"/>
      <w:bookmarkStart w:id="17" w:name="_Toc45613982"/>
      <w:r>
        <w:rPr>
          <w:rFonts w:hint="eastAsia"/>
        </w:rPr>
        <w:t xml:space="preserve">第一章 </w:t>
      </w:r>
      <w:r>
        <w:t xml:space="preserve"> </w:t>
      </w:r>
      <w:r>
        <w:rPr>
          <w:rFonts w:hint="eastAsia"/>
        </w:rPr>
        <w:t>招标公告</w:t>
      </w:r>
      <w:bookmarkEnd w:id="1"/>
      <w:bookmarkEnd w:id="2"/>
      <w:bookmarkEnd w:id="14"/>
      <w:bookmarkEnd w:id="15"/>
      <w:bookmarkEnd w:id="16"/>
      <w:bookmarkEnd w:id="17"/>
    </w:p>
    <w:p>
      <w:pPr>
        <w:pStyle w:val="68"/>
      </w:pPr>
      <w:bookmarkStart w:id="18" w:name="_Toc208326720"/>
      <w:r>
        <w:t>项目名称：</w:t>
      </w:r>
      <w:bookmarkEnd w:id="18"/>
      <w:bookmarkStart w:id="19" w:name="_Hlk45633076"/>
      <w:bookmarkStart w:id="20" w:name="_Hlk45633552"/>
      <w:r>
        <w:rPr>
          <w:rFonts w:hint="eastAsia"/>
        </w:rPr>
        <w:t>金沙江金沙水电站蓄水对周边煤矿影响区域矿井突水灾害隐患治理工程质量检测</w:t>
      </w:r>
      <w:bookmarkEnd w:id="19"/>
      <w:r>
        <w:rPr>
          <w:rFonts w:hint="eastAsia"/>
        </w:rPr>
        <w:t>服务</w:t>
      </w:r>
      <w:bookmarkEnd w:id="20"/>
    </w:p>
    <w:p>
      <w:pPr>
        <w:pStyle w:val="68"/>
      </w:pPr>
      <w:r>
        <w:t>项目所在地区：四川省</w:t>
      </w:r>
      <w:r>
        <w:rPr>
          <w:rFonts w:hint="eastAsia"/>
        </w:rPr>
        <w:t>攀枝花市西区、仁和区</w:t>
      </w:r>
    </w:p>
    <w:p>
      <w:pPr>
        <w:pStyle w:val="69"/>
        <w:ind w:firstLine="560"/>
      </w:pPr>
      <w:r>
        <w:rPr>
          <w:rFonts w:hint="eastAsia"/>
        </w:rPr>
        <w:t>1</w:t>
      </w:r>
      <w:r>
        <w:t>. 项目概况</w:t>
      </w:r>
    </w:p>
    <w:p>
      <w:pPr>
        <w:pStyle w:val="69"/>
        <w:ind w:firstLine="560"/>
      </w:pPr>
      <w:r>
        <w:rPr>
          <w:rFonts w:hint="eastAsia"/>
        </w:rPr>
        <w:t>1</w:t>
      </w:r>
      <w:r>
        <w:t>.1</w:t>
      </w:r>
      <w:r>
        <w:rPr>
          <w:rFonts w:hint="eastAsia"/>
        </w:rPr>
        <w:t>项目概况</w:t>
      </w:r>
    </w:p>
    <w:p>
      <w:pPr>
        <w:pStyle w:val="70"/>
        <w:ind w:firstLine="560"/>
      </w:pPr>
      <w:r>
        <w:t>金沙水电站位于金沙江干流中游末端的攀枝花河段上，是金沙江攀枝花河段水电规划的梯级水电站之一。电站坝址位于攀枝花市中心城区，上距在建的观音岩水电站坝址28.9km，下距规划的银江水电站坝址约21km。坝址左岸为攀枝花市西区，城市路（苏铁东路）可直达坝区，右岸为攀枝花市仁和区，库尾涉及云南省丽江市华坪县。</w:t>
      </w:r>
    </w:p>
    <w:p>
      <w:pPr>
        <w:pStyle w:val="70"/>
        <w:ind w:firstLine="560"/>
      </w:pPr>
      <w:r>
        <w:rPr>
          <w:rFonts w:hint="eastAsia"/>
        </w:rPr>
        <w:t>电站正常蓄水位1022.0m，死水位1020.0m，水库总库容为1.08亿m³，正常蓄水位库容0.85亿m³，其中调节库容0.112亿m³，具有日调节性能；电站装机容量560MW，多年平均发电量为25.07亿</w:t>
      </w:r>
      <w:r>
        <w:t>kW</w:t>
      </w:r>
      <w:r>
        <w:rPr>
          <w:rFonts w:ascii="Calibri" w:hAnsi="Calibri" w:cs="Calibri"/>
        </w:rPr>
        <w:t>·</w:t>
      </w:r>
      <w:r>
        <w:t>h</w:t>
      </w:r>
      <w:r>
        <w:rPr>
          <w:rFonts w:hint="eastAsia"/>
        </w:rPr>
        <w:t>。</w:t>
      </w:r>
    </w:p>
    <w:p>
      <w:pPr>
        <w:pStyle w:val="69"/>
        <w:ind w:firstLine="560"/>
      </w:pPr>
      <w:r>
        <w:rPr>
          <w:rFonts w:hint="eastAsia"/>
        </w:rPr>
        <w:t>金沙水电站蓄水区南岸为攀枝花市重要的原煤产地，分布有较多的生产矿井，因历史原因，沿岸还分布有关闭矿井和老窑，同时还形成了一定的煤层采空区。金沙水电站蓄水后，水位将抬升，对周边煤矿的安全生产存在一定程度的影响。2012年以来，水电站投资方先后委托四川省煤炭设计院编制了《金沙江金沙水电站库区压覆煤柱设计》（2012年6月）、成都水文地质工程地质中心编制了《关于金沙江金沙水电站库区（攀枝花段）压覆已查明重要矿产资源的评估报告》(2012年12月)、四川省安全科学技术研究院编制了《四川省能投攀枝花水电开发有限公司金沙江水电站蓄水淹没区对已查明煤矿的安全影响论证报告》（2012年12月），3个报告均对水电站蓄水后对周边煤矿的影响作了相应的调查和评估，初步查明了金沙水电站蓄水对周边煤矿的影响。2016年9月，四川省能投攀枝花水电开发有限公司委托四川省煤田地质工程勘察设计研究院进一步展开调查，通过相关资料以及物探、钻探等手段划定了影响区域，初步圈定了影响区内的采空区及老窑分布情况。</w:t>
      </w:r>
    </w:p>
    <w:p>
      <w:pPr>
        <w:pStyle w:val="69"/>
        <w:ind w:firstLine="560"/>
      </w:pPr>
      <w:r>
        <w:rPr>
          <w:rFonts w:hint="eastAsia"/>
        </w:rPr>
        <w:t>通过前期大量的地质工作，基本查明金沙水电站蓄水后有3个主要影响区域：兴业区域、兴隆区域和摩梭河区域，对应的煤矿分别是兴业煤矿（间接影响兴旺煤矿）、兴隆煤矿和太平煤矿，以及分布在三个区域中的老窑。为了确保水电站蓄水不会对周边煤矿造成安全隐患，2016年10月四川省能投攀枝花水电开发有限公司委托四川省煤田地质工程勘察设计研究院对灾害隐患区域进行治理。本次治理范围为上述三个区域，治理对象为前期地质工作圈定的低于最高回水线标高的井口、老窑、采空区。</w:t>
      </w:r>
    </w:p>
    <w:p>
      <w:pPr>
        <w:pStyle w:val="69"/>
        <w:ind w:firstLine="560"/>
      </w:pPr>
      <w:r>
        <w:rPr>
          <w:rFonts w:hint="eastAsia"/>
        </w:rPr>
        <w:t>通过相关技术、经济、施工方面的论证，相关单位对影响区内的采空区及老窑采用了注浆堵水处理。注浆施工图如下：</w:t>
      </w:r>
    </w:p>
    <w:p>
      <w:pPr>
        <w:pStyle w:val="80"/>
        <w:rPr>
          <w:color w:val="0070C0"/>
        </w:rPr>
      </w:pPr>
      <w:r>
        <w:rPr>
          <w:rFonts w:ascii="Times New Roman" w:hAnsi="Times New Roman" w:eastAsia="宋体" w:cs="宋体"/>
          <w:kern w:val="2"/>
          <w:sz w:val="28"/>
          <w:szCs w:val="28"/>
          <w:lang w:val="en-US" w:eastAsia="zh-CN" w:bidi="ar-SA"/>
        </w:rPr>
        <w:pict>
          <v:shape id="图片 3" o:spid="_x0000_s1027" type="#_x0000_t75" style="height:165.4pt;width:451.1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pStyle w:val="80"/>
      </w:pPr>
      <w:r>
        <w:rPr>
          <w:rFonts w:hint="eastAsia"/>
        </w:rPr>
        <w:t>图1 兴隆老窑660处采空区注浆堵水钻孔布置平面图</w:t>
      </w:r>
    </w:p>
    <w:p>
      <w:pPr>
        <w:pStyle w:val="80"/>
      </w:pPr>
      <w:r>
        <w:rPr>
          <w:rFonts w:ascii="Times New Roman" w:hAnsi="Times New Roman" w:eastAsia="宋体" w:cs="宋体"/>
          <w:kern w:val="2"/>
          <w:sz w:val="28"/>
          <w:szCs w:val="28"/>
          <w:lang w:val="en-US" w:eastAsia="zh-CN" w:bidi="ar-SA"/>
        </w:rPr>
        <w:pict>
          <v:shape id="图片 4" o:spid="_x0000_s1028" type="#_x0000_t75" style="height:308.95pt;width:451.1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pStyle w:val="80"/>
      </w:pPr>
      <w:r>
        <w:rPr>
          <w:rFonts w:hint="eastAsia"/>
        </w:rPr>
        <w:t>图2</w:t>
      </w:r>
      <w:r>
        <w:t xml:space="preserve"> </w:t>
      </w:r>
      <w:r>
        <w:rPr>
          <w:rFonts w:hint="eastAsia"/>
        </w:rPr>
        <w:t>兴隆14号煤层采空区注浆堵水钻孔布置平面图</w:t>
      </w:r>
    </w:p>
    <w:p>
      <w:pPr>
        <w:pStyle w:val="80"/>
      </w:pPr>
      <w:r>
        <w:rPr>
          <w:rFonts w:ascii="Times New Roman" w:hAnsi="Times New Roman" w:eastAsia="宋体" w:cs="宋体"/>
          <w:kern w:val="2"/>
          <w:sz w:val="28"/>
          <w:szCs w:val="28"/>
          <w:lang w:val="en-US" w:eastAsia="zh-CN" w:bidi="ar-SA"/>
        </w:rPr>
        <w:pict>
          <v:shape id="图片 5" o:spid="_x0000_s1029" type="#_x0000_t75" style="height:214.65pt;width:451.1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pStyle w:val="80"/>
      </w:pPr>
      <w:r>
        <w:rPr>
          <w:rFonts w:hint="eastAsia"/>
        </w:rPr>
        <w:t>图3</w:t>
      </w:r>
      <w:r>
        <w:t xml:space="preserve"> </w:t>
      </w:r>
      <w:r>
        <w:rPr>
          <w:rFonts w:hint="eastAsia"/>
        </w:rPr>
        <w:t>兴业区域采空区注浆堵水钻孔布置平面图</w:t>
      </w:r>
    </w:p>
    <w:p>
      <w:pPr>
        <w:pStyle w:val="69"/>
        <w:ind w:firstLine="560"/>
      </w:pPr>
      <w:r>
        <w:t>2</w:t>
      </w:r>
      <w:r>
        <w:rPr>
          <w:rFonts w:hint="eastAsia"/>
        </w:rPr>
        <w:t>.招标范围</w:t>
      </w:r>
    </w:p>
    <w:p>
      <w:pPr>
        <w:pStyle w:val="69"/>
        <w:ind w:firstLine="560"/>
      </w:pPr>
      <w:r>
        <w:rPr>
          <w:rFonts w:hint="eastAsia"/>
        </w:rPr>
        <w:t>本次招标范围为针对兴业煤矿38-1、38-2煤层采空区、兴隆煤矿14号煤层采空区与兴隆煤矿660采空区以及12个老窑注浆封填</w:t>
      </w:r>
      <w:r>
        <w:rPr>
          <w:rFonts w:hint="eastAsia"/>
          <w:highlight w:val="none"/>
        </w:rPr>
        <w:t>帷幕工程进行质量检测</w:t>
      </w:r>
      <w:r>
        <w:rPr>
          <w:rFonts w:hint="eastAsia"/>
        </w:rPr>
        <w:t>，</w:t>
      </w:r>
      <w:r>
        <w:rPr>
          <w:rFonts w:hint="eastAsia"/>
          <w:highlight w:val="none"/>
        </w:rPr>
        <w:t>检测注浆封填帷幕的密实性</w:t>
      </w:r>
      <w:r>
        <w:rPr>
          <w:rFonts w:hint="eastAsia"/>
        </w:rPr>
        <w:t>，确保处理到达设计要求。</w:t>
      </w:r>
      <w:bookmarkStart w:id="21" w:name="_Hlk45789328"/>
      <w:r>
        <w:rPr>
          <w:rFonts w:hint="eastAsia"/>
        </w:rPr>
        <w:t>包括但不限于</w:t>
      </w:r>
      <w:r>
        <w:rPr>
          <w:rFonts w:hint="eastAsia"/>
          <w:highlight w:val="none"/>
        </w:rPr>
        <w:t>采用钻孔取芯、跨孔地震CT、声波测试、井下电视和压水实验等有效的测试方法进行金沙水电站蓄水对周边煤矿影响区域矿井突水灾害隐患治理工程质量检测，对注浆封填工程的密实性进行评价并编制检测报告，报告内容及编制深度需</w:t>
      </w:r>
      <w:r>
        <w:rPr>
          <w:rFonts w:hint="eastAsia"/>
        </w:rPr>
        <w:t>满足国家及行业现行规程、规范及技术标准要求；各检测项预估工作量分别为：钻探100</w:t>
      </w:r>
      <w:r>
        <w:t>0</w:t>
      </w:r>
      <w:r>
        <w:rPr>
          <w:rFonts w:hint="eastAsia"/>
        </w:rPr>
        <w:t>m、</w:t>
      </w:r>
      <w:r>
        <w:rPr>
          <w:rFonts w:hint="eastAsia"/>
          <w:highlight w:val="none"/>
        </w:rPr>
        <w:t>地震CT</w:t>
      </w:r>
      <w:r>
        <w:t>750</w:t>
      </w:r>
      <w:r>
        <w:rPr>
          <w:rFonts w:hint="eastAsia"/>
        </w:rPr>
        <w:t>m、声波测试及井下电视3</w:t>
      </w:r>
      <w:r>
        <w:t>55</w:t>
      </w:r>
      <w:r>
        <w:rPr>
          <w:rFonts w:hint="eastAsia"/>
        </w:rPr>
        <w:t>m、水工实验</w:t>
      </w:r>
      <w:r>
        <w:t>2</w:t>
      </w:r>
      <w:r>
        <w:rPr>
          <w:rFonts w:hint="eastAsia"/>
        </w:rPr>
        <w:t>个孔。</w:t>
      </w:r>
      <w:bookmarkEnd w:id="21"/>
      <w:r>
        <w:rPr>
          <w:rFonts w:hint="eastAsia"/>
        </w:rPr>
        <w:t>本次招标文件中的检测工作量为预估值，实际发生量以招标人实际要求中标人按相应规范完成的工作量为准。</w:t>
      </w:r>
    </w:p>
    <w:p>
      <w:pPr>
        <w:pStyle w:val="69"/>
        <w:ind w:firstLine="560"/>
      </w:pPr>
      <w:r>
        <w:rPr>
          <w:rFonts w:hint="eastAsia"/>
        </w:rPr>
        <w:t>负责安排及委托报告涉及的主管部门对检测报告进行评审，直至获得攀枝花市相关主管部门或项目所涉及西区、仁和区相关主管部门对本检测报告的批复（备案）意见，并符合验收相关要求。</w:t>
      </w:r>
    </w:p>
    <w:p>
      <w:pPr>
        <w:pStyle w:val="69"/>
        <w:ind w:firstLine="560"/>
      </w:pPr>
      <w:r>
        <w:t>3</w:t>
      </w:r>
      <w:r>
        <w:rPr>
          <w:rFonts w:hint="eastAsia"/>
        </w:rPr>
        <w:t>.服务期限</w:t>
      </w:r>
    </w:p>
    <w:p>
      <w:pPr>
        <w:pStyle w:val="70"/>
        <w:ind w:firstLine="560"/>
        <w:rPr>
          <w:lang w:bidi="en-US"/>
        </w:rPr>
      </w:pPr>
      <w:r>
        <w:t>合同签订之日起至</w:t>
      </w:r>
      <w:r>
        <w:rPr>
          <w:rFonts w:hint="eastAsia"/>
        </w:rPr>
        <w:t>金沙水电站蓄水对周边煤矿影响区域矿井突水灾害隐患治理工程质量检测报告</w:t>
      </w:r>
      <w:r>
        <w:t>验收通过</w:t>
      </w:r>
      <w:r>
        <w:rPr>
          <w:lang w:bidi="en-US"/>
        </w:rPr>
        <w:t>。</w:t>
      </w:r>
    </w:p>
    <w:p>
      <w:pPr>
        <w:pStyle w:val="69"/>
        <w:ind w:firstLine="560"/>
      </w:pPr>
      <w:r>
        <w:rPr>
          <w:rFonts w:hint="eastAsia"/>
        </w:rPr>
        <w:t>4.</w:t>
      </w:r>
      <w:r>
        <w:t>投标人资格要求</w:t>
      </w:r>
    </w:p>
    <w:p>
      <w:pPr>
        <w:pStyle w:val="70"/>
        <w:ind w:firstLine="560"/>
      </w:pPr>
      <w:r>
        <w:rPr>
          <w:rFonts w:hint="eastAsia"/>
        </w:rPr>
        <w:t>本项目采用资格后审方式评审，投标人应同时具备以下资格条件：</w:t>
      </w:r>
    </w:p>
    <w:p>
      <w:pPr>
        <w:pStyle w:val="70"/>
        <w:ind w:firstLine="560"/>
      </w:pPr>
      <w:r>
        <w:t>（1）资质条件：</w:t>
      </w:r>
      <w:r>
        <w:rPr>
          <w:rFonts w:hint="eastAsia"/>
          <w:highlight w:val="none"/>
        </w:rPr>
        <w:t>投标人须</w:t>
      </w:r>
      <w:r>
        <w:t>具有独立法人资格</w:t>
      </w:r>
      <w:r>
        <w:rPr>
          <w:rFonts w:hint="eastAsia"/>
        </w:rPr>
        <w:t>或事业单位法人资格，</w:t>
      </w:r>
      <w:r>
        <w:rPr>
          <w:rFonts w:hint="eastAsia"/>
          <w:highlight w:val="none"/>
        </w:rPr>
        <w:t>同时具有有效期范围内的工程勘察专业甲级及以上资质</w:t>
      </w:r>
      <w:r>
        <w:rPr>
          <w:rFonts w:hint="eastAsia"/>
        </w:rPr>
        <w:t>。</w:t>
      </w:r>
    </w:p>
    <w:p>
      <w:pPr>
        <w:pStyle w:val="70"/>
        <w:ind w:firstLine="560"/>
      </w:pPr>
      <w:r>
        <w:rPr>
          <w:rFonts w:hint="eastAsia"/>
        </w:rPr>
        <w:t>（</w:t>
      </w:r>
      <w:r>
        <w:t>2</w:t>
      </w:r>
      <w:r>
        <w:rPr>
          <w:rFonts w:hint="eastAsia"/>
        </w:rPr>
        <w:t>）其他要求：本项目不接受联合体投标。</w:t>
      </w:r>
    </w:p>
    <w:p>
      <w:pPr>
        <w:pStyle w:val="69"/>
        <w:ind w:firstLine="560"/>
        <w:rPr>
          <w:rFonts w:cs="宋体"/>
          <w:spacing w:val="1"/>
          <w:kern w:val="0"/>
        </w:rPr>
      </w:pPr>
      <w:r>
        <w:rPr>
          <w:rFonts w:hint="eastAsia"/>
        </w:rPr>
        <w:t>5.招标文件的获取</w:t>
      </w:r>
    </w:p>
    <w:p>
      <w:pPr>
        <w:pStyle w:val="70"/>
        <w:ind w:firstLine="560"/>
      </w:pPr>
      <w:r>
        <w:rPr>
          <w:rFonts w:hint="eastAsia"/>
        </w:rPr>
        <w:t>有意参加投标者，请于</w:t>
      </w:r>
      <w:r>
        <w:rPr>
          <w:rFonts w:hint="eastAsia"/>
          <w:highlight w:val="yellow"/>
        </w:rPr>
        <w:t>2020年  月  日</w:t>
      </w:r>
      <w:r>
        <w:rPr>
          <w:rFonts w:hint="eastAsia"/>
        </w:rPr>
        <w:t>开始登录四川省能投攀枝花水电开发有限公司官网（http://pzh.scnyw.com//）下载招标文件。</w:t>
      </w:r>
    </w:p>
    <w:p>
      <w:pPr>
        <w:pStyle w:val="69"/>
        <w:ind w:firstLine="560"/>
      </w:pPr>
      <w:r>
        <w:rPr>
          <w:rFonts w:hint="eastAsia"/>
        </w:rPr>
        <w:t>6.投标文件的递交</w:t>
      </w:r>
    </w:p>
    <w:p>
      <w:pPr>
        <w:pStyle w:val="70"/>
        <w:ind w:firstLine="560"/>
      </w:pPr>
      <w:r>
        <w:rPr>
          <w:rFonts w:hint="eastAsia"/>
        </w:rPr>
        <w:t>（1）投标文件的</w:t>
      </w:r>
      <w:r>
        <w:t>递交截止时间：</w:t>
      </w:r>
      <w:r>
        <w:rPr>
          <w:rFonts w:hint="eastAsia"/>
          <w:highlight w:val="yellow"/>
        </w:rPr>
        <w:t>2020</w:t>
      </w:r>
      <w:r>
        <w:rPr>
          <w:highlight w:val="yellow"/>
        </w:rPr>
        <w:t>年</w:t>
      </w:r>
      <w:r>
        <w:rPr>
          <w:rFonts w:hint="eastAsia"/>
          <w:highlight w:val="yellow"/>
        </w:rPr>
        <w:t xml:space="preserve">  </w:t>
      </w:r>
      <w:r>
        <w:rPr>
          <w:highlight w:val="yellow"/>
        </w:rPr>
        <w:t>月</w:t>
      </w:r>
      <w:r>
        <w:rPr>
          <w:rFonts w:hint="eastAsia"/>
          <w:highlight w:val="yellow"/>
        </w:rPr>
        <w:t xml:space="preserve">  </w:t>
      </w:r>
      <w:r>
        <w:rPr>
          <w:highlight w:val="yellow"/>
        </w:rPr>
        <w:t>日9时</w:t>
      </w:r>
      <w:r>
        <w:t>（北京时间）。</w:t>
      </w:r>
    </w:p>
    <w:p>
      <w:pPr>
        <w:pStyle w:val="70"/>
        <w:ind w:firstLine="560"/>
      </w:pPr>
      <w:r>
        <w:rPr>
          <w:rFonts w:hint="eastAsia"/>
        </w:rPr>
        <w:t>（2）投标文件</w:t>
      </w:r>
      <w:r>
        <w:t>递交地点：</w:t>
      </w:r>
      <w:r>
        <w:rPr>
          <w:rFonts w:hint="eastAsia"/>
        </w:rPr>
        <w:t>四川省攀枝花市西区建福巷88号50</w:t>
      </w:r>
      <w:r>
        <w:t>8</w:t>
      </w:r>
      <w:r>
        <w:rPr>
          <w:rFonts w:hint="eastAsia"/>
        </w:rPr>
        <w:t>会议室。</w:t>
      </w:r>
    </w:p>
    <w:p>
      <w:pPr>
        <w:pStyle w:val="70"/>
        <w:ind w:firstLine="560"/>
      </w:pPr>
      <w:r>
        <w:rPr>
          <w:rFonts w:hint="eastAsia"/>
        </w:rPr>
        <w:t>（3）逾期送达的或者未送达指定地点的投标文件，招标人不予受理。</w:t>
      </w:r>
    </w:p>
    <w:p>
      <w:pPr>
        <w:pStyle w:val="69"/>
        <w:ind w:firstLine="560"/>
      </w:pPr>
      <w:r>
        <w:rPr>
          <w:rFonts w:hint="eastAsia"/>
        </w:rPr>
        <w:t>7.发布公告的媒介</w:t>
      </w:r>
    </w:p>
    <w:p>
      <w:pPr>
        <w:pStyle w:val="70"/>
        <w:ind w:firstLine="560"/>
      </w:pPr>
      <w:r>
        <w:rPr>
          <w:rFonts w:hint="eastAsia"/>
        </w:rPr>
        <w:t>招标公告在</w:t>
      </w:r>
      <w:r>
        <w:rPr>
          <w:rFonts w:hint="eastAsia"/>
          <w:u w:val="single"/>
        </w:rPr>
        <w:t>四川省能投攀枝花水电开发有限公司网站</w:t>
      </w:r>
      <w:r>
        <w:rPr>
          <w:rFonts w:hint="eastAsia"/>
        </w:rPr>
        <w:t>（发布公告的所有媒介名称）上发布。</w:t>
      </w:r>
    </w:p>
    <w:p>
      <w:pPr>
        <w:pStyle w:val="70"/>
        <w:ind w:firstLine="560"/>
        <w:rPr>
          <w:snapToGrid w:val="0"/>
        </w:rPr>
      </w:pPr>
      <w:r>
        <w:rPr>
          <w:rFonts w:hint="eastAsia"/>
          <w:snapToGrid w:val="0"/>
        </w:rPr>
        <w:t>8.</w:t>
      </w:r>
      <w:r>
        <w:rPr>
          <w:snapToGrid w:val="0"/>
        </w:rPr>
        <w:t>联系方式</w:t>
      </w:r>
    </w:p>
    <w:p>
      <w:pPr>
        <w:pStyle w:val="70"/>
        <w:ind w:firstLine="560"/>
        <w:rPr>
          <w:snapToGrid w:val="0"/>
        </w:rPr>
      </w:pPr>
      <w:r>
        <w:rPr>
          <w:rFonts w:hint="eastAsia"/>
          <w:snapToGrid w:val="0"/>
        </w:rPr>
        <w:t>招 标 人：四川省能投攀枝花水电开发有限公司</w:t>
      </w:r>
    </w:p>
    <w:p>
      <w:pPr>
        <w:pStyle w:val="70"/>
        <w:ind w:firstLine="560"/>
        <w:rPr>
          <w:snapToGrid w:val="0"/>
        </w:rPr>
      </w:pPr>
      <w:r>
        <w:rPr>
          <w:rFonts w:hint="eastAsia"/>
          <w:snapToGrid w:val="0"/>
        </w:rPr>
        <w:t>地    址：四川省攀枝花市西区建福巷88号</w:t>
      </w:r>
    </w:p>
    <w:p>
      <w:pPr>
        <w:pStyle w:val="70"/>
        <w:ind w:firstLine="560"/>
        <w:rPr>
          <w:snapToGrid w:val="0"/>
        </w:rPr>
      </w:pPr>
      <w:r>
        <w:rPr>
          <w:rFonts w:hint="eastAsia"/>
          <w:snapToGrid w:val="0"/>
        </w:rPr>
        <w:t>联 系 人：陈女士</w:t>
      </w:r>
    </w:p>
    <w:p>
      <w:pPr>
        <w:pStyle w:val="70"/>
        <w:ind w:firstLine="560"/>
        <w:rPr>
          <w:snapToGrid w:val="0"/>
        </w:rPr>
      </w:pPr>
      <w:r>
        <w:rPr>
          <w:rFonts w:hint="eastAsia"/>
          <w:snapToGrid w:val="0"/>
        </w:rPr>
        <w:t>电    话： 0812-31512</w:t>
      </w:r>
      <w:r>
        <w:rPr>
          <w:snapToGrid w:val="0"/>
        </w:rPr>
        <w:t>40</w:t>
      </w:r>
    </w:p>
    <w:p>
      <w:pPr>
        <w:pStyle w:val="70"/>
        <w:ind w:firstLine="560"/>
        <w:rPr>
          <w:snapToGrid w:val="0"/>
        </w:rPr>
      </w:pPr>
      <w:r>
        <w:rPr>
          <w:rFonts w:hint="eastAsia"/>
          <w:snapToGrid w:val="0"/>
        </w:rPr>
        <w:t>传    真：/</w:t>
      </w:r>
    </w:p>
    <w:p>
      <w:pPr>
        <w:pStyle w:val="70"/>
        <w:ind w:firstLine="560"/>
        <w:rPr>
          <w:snapToGrid w:val="0"/>
        </w:rPr>
      </w:pPr>
    </w:p>
    <w:p>
      <w:pPr>
        <w:pStyle w:val="70"/>
        <w:ind w:firstLine="560"/>
      </w:pPr>
    </w:p>
    <w:p>
      <w:pPr>
        <w:pStyle w:val="70"/>
        <w:ind w:firstLine="560"/>
        <w:rPr>
          <w:snapToGrid w:val="0"/>
        </w:rPr>
      </w:pPr>
      <w:r>
        <w:rPr>
          <w:rFonts w:hint="eastAsia"/>
          <w:snapToGrid w:val="0"/>
        </w:rPr>
        <w:t xml:space="preserve">                           四川省能投攀枝花水电开发有限公司</w:t>
      </w:r>
    </w:p>
    <w:p>
      <w:pPr>
        <w:pStyle w:val="70"/>
        <w:ind w:firstLine="560"/>
        <w:jc w:val="left"/>
        <w:rPr>
          <w:snapToGrid w:val="0"/>
        </w:rPr>
        <w:sectPr>
          <w:footerReference r:id="rId9" w:type="default"/>
          <w:pgSz w:w="11907" w:h="16840"/>
          <w:pgMar w:top="1440" w:right="1440" w:bottom="1440" w:left="1440" w:header="851" w:footer="992" w:gutter="0"/>
          <w:pgNumType w:start="1"/>
          <w:cols w:space="720" w:num="1"/>
          <w:docGrid w:linePitch="326" w:charSpace="0"/>
        </w:sectPr>
      </w:pPr>
      <w:r>
        <w:rPr>
          <w:rFonts w:hint="eastAsia"/>
          <w:snapToGrid w:val="0"/>
        </w:rPr>
        <w:t xml:space="preserve">                                      </w:t>
      </w:r>
      <w:r>
        <w:rPr>
          <w:rFonts w:hint="eastAsia"/>
          <w:snapToGrid w:val="0"/>
          <w:highlight w:val="yellow"/>
        </w:rPr>
        <w:t xml:space="preserve">年 </w:t>
      </w:r>
      <w:r>
        <w:rPr>
          <w:snapToGrid w:val="0"/>
          <w:highlight w:val="yellow"/>
        </w:rPr>
        <w:t xml:space="preserve">  </w:t>
      </w:r>
      <w:r>
        <w:rPr>
          <w:rFonts w:hint="eastAsia"/>
          <w:snapToGrid w:val="0"/>
          <w:highlight w:val="yellow"/>
        </w:rPr>
        <w:t xml:space="preserve">月 </w:t>
      </w:r>
      <w:r>
        <w:rPr>
          <w:snapToGrid w:val="0"/>
          <w:highlight w:val="yellow"/>
        </w:rPr>
        <w:t xml:space="preserve">  </w:t>
      </w:r>
      <w:r>
        <w:rPr>
          <w:rFonts w:hint="eastAsia"/>
          <w:snapToGrid w:val="0"/>
          <w:highlight w:val="yellow"/>
        </w:rPr>
        <w:t>日</w:t>
      </w:r>
      <w:r>
        <w:rPr>
          <w:rFonts w:hint="eastAsia"/>
          <w:snapToGrid w:val="0"/>
        </w:rPr>
        <w:t xml:space="preserve"> </w:t>
      </w:r>
      <w:r>
        <w:rPr>
          <w:snapToGrid w:val="0"/>
        </w:rPr>
        <w:t xml:space="preserve"> </w:t>
      </w:r>
    </w:p>
    <w:p>
      <w:pPr>
        <w:pStyle w:val="2"/>
      </w:pPr>
      <w:bookmarkStart w:id="22" w:name="_Toc29527"/>
      <w:bookmarkStart w:id="23" w:name="_Toc28498"/>
      <w:bookmarkStart w:id="24" w:name="_Toc11593"/>
      <w:bookmarkStart w:id="25" w:name="_Toc19483"/>
      <w:bookmarkStart w:id="26" w:name="_Toc9816"/>
      <w:bookmarkStart w:id="27" w:name="_Toc45613983"/>
      <w:r>
        <w:rPr>
          <w:rFonts w:hint="eastAsia"/>
        </w:rPr>
        <w:t>第二章  投标人须知</w:t>
      </w:r>
      <w:bookmarkEnd w:id="3"/>
      <w:bookmarkEnd w:id="4"/>
      <w:bookmarkEnd w:id="5"/>
      <w:bookmarkEnd w:id="6"/>
      <w:bookmarkEnd w:id="7"/>
      <w:bookmarkEnd w:id="8"/>
      <w:bookmarkEnd w:id="9"/>
      <w:bookmarkEnd w:id="10"/>
      <w:bookmarkEnd w:id="11"/>
      <w:bookmarkEnd w:id="12"/>
      <w:bookmarkEnd w:id="13"/>
      <w:bookmarkEnd w:id="22"/>
      <w:bookmarkEnd w:id="23"/>
      <w:bookmarkEnd w:id="24"/>
      <w:bookmarkEnd w:id="25"/>
      <w:bookmarkEnd w:id="26"/>
      <w:bookmarkEnd w:id="27"/>
    </w:p>
    <w:p>
      <w:pPr>
        <w:pStyle w:val="5"/>
      </w:pPr>
      <w:bookmarkStart w:id="28" w:name="_Toc317187169"/>
      <w:bookmarkStart w:id="29" w:name="_Toc1348"/>
      <w:r>
        <w:rPr>
          <w:rFonts w:hint="eastAsia"/>
        </w:rPr>
        <w:t>1  投标人须知前附表</w:t>
      </w:r>
      <w:bookmarkEnd w:id="28"/>
      <w:bookmarkEnd w:id="29"/>
    </w:p>
    <w:p>
      <w:pPr>
        <w:pStyle w:val="70"/>
        <w:ind w:firstLine="560"/>
      </w:pPr>
      <w:r>
        <w:t>投标人须知前附表是对投标人须知的具体补充和修改，如有矛盾，应以本表为准。</w:t>
      </w:r>
    </w:p>
    <w:tbl>
      <w:tblPr>
        <w:tblStyle w:val="34"/>
        <w:tblW w:w="902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605"/>
        <w:gridCol w:w="2369"/>
        <w:gridCol w:w="60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tblHeader/>
          <w:jc w:val="center"/>
        </w:trPr>
        <w:tc>
          <w:tcPr>
            <w:tcW w:w="605" w:type="dxa"/>
            <w:vAlign w:val="center"/>
          </w:tcPr>
          <w:p>
            <w:pPr>
              <w:pStyle w:val="36"/>
              <w:jc w:val="center"/>
              <w:rPr>
                <w:b/>
                <w:bCs/>
              </w:rPr>
            </w:pPr>
            <w:r>
              <w:rPr>
                <w:rFonts w:hint="eastAsia"/>
                <w:b/>
                <w:bCs/>
              </w:rPr>
              <w:t>序号</w:t>
            </w:r>
          </w:p>
        </w:tc>
        <w:tc>
          <w:tcPr>
            <w:tcW w:w="2369" w:type="dxa"/>
            <w:vAlign w:val="center"/>
          </w:tcPr>
          <w:p>
            <w:pPr>
              <w:pStyle w:val="36"/>
              <w:jc w:val="center"/>
              <w:rPr>
                <w:b/>
                <w:bCs/>
              </w:rPr>
            </w:pPr>
            <w:r>
              <w:rPr>
                <w:rFonts w:hint="eastAsia"/>
                <w:b/>
                <w:bCs/>
              </w:rPr>
              <w:t>条款名称</w:t>
            </w:r>
          </w:p>
        </w:tc>
        <w:tc>
          <w:tcPr>
            <w:tcW w:w="6055" w:type="dxa"/>
            <w:vAlign w:val="center"/>
          </w:tcPr>
          <w:p>
            <w:pPr>
              <w:pStyle w:val="36"/>
              <w:jc w:val="center"/>
              <w:rPr>
                <w:b/>
                <w:bCs/>
              </w:rPr>
            </w:pPr>
            <w:r>
              <w:rPr>
                <w:rFonts w:hint="eastAsia"/>
                <w:b/>
                <w:bCs/>
              </w:rPr>
              <w:t>说明和要求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1</w:t>
            </w:r>
          </w:p>
        </w:tc>
        <w:tc>
          <w:tcPr>
            <w:tcW w:w="2369" w:type="dxa"/>
            <w:vAlign w:val="center"/>
          </w:tcPr>
          <w:p>
            <w:pPr>
              <w:pStyle w:val="36"/>
              <w:jc w:val="center"/>
            </w:pPr>
            <w:r>
              <w:rPr>
                <w:rFonts w:hint="eastAsia"/>
              </w:rPr>
              <w:t>招标人</w:t>
            </w:r>
          </w:p>
        </w:tc>
        <w:tc>
          <w:tcPr>
            <w:tcW w:w="6055" w:type="dxa"/>
            <w:vAlign w:val="center"/>
          </w:tcPr>
          <w:p>
            <w:pPr>
              <w:pStyle w:val="36"/>
            </w:pPr>
            <w:r>
              <w:rPr>
                <w:rFonts w:hint="eastAsia"/>
              </w:rPr>
              <w:t>名  称：四川省能投攀枝花水电开发有限公司</w:t>
            </w:r>
          </w:p>
          <w:p>
            <w:pPr>
              <w:pStyle w:val="36"/>
            </w:pPr>
            <w:r>
              <w:rPr>
                <w:rFonts w:hint="eastAsia"/>
              </w:rPr>
              <w:t>地  址：</w:t>
            </w:r>
            <w:r>
              <w:rPr>
                <w:rFonts w:hint="eastAsia"/>
                <w:spacing w:val="1"/>
              </w:rPr>
              <w:t>四川省攀枝花市西区建福巷88号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2</w:t>
            </w:r>
          </w:p>
        </w:tc>
        <w:tc>
          <w:tcPr>
            <w:tcW w:w="2369" w:type="dxa"/>
            <w:vAlign w:val="center"/>
          </w:tcPr>
          <w:p>
            <w:pPr>
              <w:pStyle w:val="36"/>
              <w:jc w:val="center"/>
            </w:pPr>
            <w:r>
              <w:rPr>
                <w:rFonts w:hint="eastAsia"/>
              </w:rPr>
              <w:t>招标项目名称</w:t>
            </w:r>
          </w:p>
        </w:tc>
        <w:tc>
          <w:tcPr>
            <w:tcW w:w="6055" w:type="dxa"/>
            <w:vAlign w:val="center"/>
          </w:tcPr>
          <w:p>
            <w:pPr>
              <w:pStyle w:val="36"/>
            </w:pPr>
            <w:r>
              <w:rPr>
                <w:rFonts w:hint="eastAsia"/>
              </w:rPr>
              <w:t>金沙江金沙水电站蓄水对周边煤矿影响区域矿井突水灾害隐患治理工程质量检测服务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3</w:t>
            </w:r>
          </w:p>
        </w:tc>
        <w:tc>
          <w:tcPr>
            <w:tcW w:w="2369" w:type="dxa"/>
            <w:vAlign w:val="center"/>
          </w:tcPr>
          <w:p>
            <w:pPr>
              <w:pStyle w:val="36"/>
              <w:jc w:val="center"/>
            </w:pPr>
            <w:r>
              <w:rPr>
                <w:rFonts w:hint="eastAsia"/>
              </w:rPr>
              <w:t>资金来源</w:t>
            </w:r>
          </w:p>
        </w:tc>
        <w:tc>
          <w:tcPr>
            <w:tcW w:w="6055" w:type="dxa"/>
            <w:vAlign w:val="center"/>
          </w:tcPr>
          <w:p>
            <w:pPr>
              <w:pStyle w:val="36"/>
            </w:pPr>
            <w:r>
              <w:rPr>
                <w:rFonts w:hint="eastAsia"/>
              </w:rPr>
              <w:t>企业自筹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4</w:t>
            </w:r>
          </w:p>
        </w:tc>
        <w:tc>
          <w:tcPr>
            <w:tcW w:w="2369" w:type="dxa"/>
            <w:vAlign w:val="center"/>
          </w:tcPr>
          <w:p>
            <w:pPr>
              <w:pStyle w:val="36"/>
              <w:jc w:val="center"/>
            </w:pPr>
            <w:r>
              <w:rPr>
                <w:rFonts w:hint="eastAsia"/>
              </w:rPr>
              <w:t>招标方式</w:t>
            </w:r>
          </w:p>
        </w:tc>
        <w:tc>
          <w:tcPr>
            <w:tcW w:w="6055" w:type="dxa"/>
            <w:vAlign w:val="center"/>
          </w:tcPr>
          <w:p>
            <w:pPr>
              <w:pStyle w:val="36"/>
            </w:pPr>
            <w:r>
              <w:rPr>
                <w:rFonts w:hint="eastAsia"/>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5</w:t>
            </w:r>
          </w:p>
        </w:tc>
        <w:tc>
          <w:tcPr>
            <w:tcW w:w="2369" w:type="dxa"/>
            <w:vAlign w:val="center"/>
          </w:tcPr>
          <w:p>
            <w:pPr>
              <w:pStyle w:val="36"/>
              <w:jc w:val="center"/>
            </w:pPr>
            <w:r>
              <w:rPr>
                <w:rFonts w:hint="eastAsia"/>
              </w:rPr>
              <w:t>服务期限</w:t>
            </w:r>
          </w:p>
        </w:tc>
        <w:tc>
          <w:tcPr>
            <w:tcW w:w="6055" w:type="dxa"/>
            <w:vAlign w:val="center"/>
          </w:tcPr>
          <w:p>
            <w:pPr>
              <w:pStyle w:val="36"/>
              <w:rPr>
                <w:highlight w:val="yellow"/>
              </w:rPr>
            </w:pPr>
            <w:r>
              <w:t>合同签订之日起至</w:t>
            </w:r>
            <w:bookmarkStart w:id="30" w:name="_Hlk45638434"/>
            <w:r>
              <w:rPr>
                <w:rFonts w:hint="eastAsia"/>
              </w:rPr>
              <w:t>金沙水电站蓄水对周边煤矿影响区域矿井突水灾害隐患治理工程质量检测报告</w:t>
            </w:r>
            <w:bookmarkEnd w:id="30"/>
            <w:r>
              <w:t>验收通过</w:t>
            </w:r>
            <w:r>
              <w:rPr>
                <w:rFonts w:hint="eastAsia"/>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6</w:t>
            </w:r>
          </w:p>
        </w:tc>
        <w:tc>
          <w:tcPr>
            <w:tcW w:w="2369" w:type="dxa"/>
            <w:vAlign w:val="center"/>
          </w:tcPr>
          <w:p>
            <w:pPr>
              <w:pStyle w:val="36"/>
              <w:jc w:val="center"/>
            </w:pPr>
            <w:r>
              <w:rPr>
                <w:rFonts w:hint="eastAsia"/>
              </w:rPr>
              <w:t>质量要求</w:t>
            </w:r>
          </w:p>
        </w:tc>
        <w:tc>
          <w:tcPr>
            <w:tcW w:w="6055" w:type="dxa"/>
            <w:vAlign w:val="center"/>
          </w:tcPr>
          <w:p>
            <w:pPr>
              <w:pStyle w:val="36"/>
            </w:pPr>
            <w:r>
              <w:rPr>
                <w:rFonts w:hint="eastAsia"/>
              </w:rPr>
              <w:t>合格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7</w:t>
            </w:r>
          </w:p>
        </w:tc>
        <w:tc>
          <w:tcPr>
            <w:tcW w:w="2369" w:type="dxa"/>
            <w:vAlign w:val="center"/>
          </w:tcPr>
          <w:p>
            <w:pPr>
              <w:pStyle w:val="36"/>
              <w:jc w:val="center"/>
            </w:pPr>
            <w:r>
              <w:rPr>
                <w:rFonts w:hint="eastAsia"/>
              </w:rPr>
              <w:t>联合体</w:t>
            </w:r>
          </w:p>
        </w:tc>
        <w:tc>
          <w:tcPr>
            <w:tcW w:w="6055" w:type="dxa"/>
            <w:vAlign w:val="center"/>
          </w:tcPr>
          <w:p>
            <w:pPr>
              <w:pStyle w:val="36"/>
              <w:ind w:firstLine="210" w:firstLineChars="100"/>
            </w:pPr>
            <w:r>
              <w:rPr>
                <w:rFonts w:hint="eastAsia"/>
                <w:sz w:val="21"/>
                <w:szCs w:val="21"/>
                <w:bdr w:val="single" w:color="auto" w:sz="4" w:space="0"/>
              </w:rPr>
              <w:t>√</w:t>
            </w:r>
            <w:r>
              <w:rPr>
                <w:rFonts w:hint="eastAsia"/>
              </w:rPr>
              <w:t>不接受；</w:t>
            </w:r>
            <w:r>
              <w:rPr>
                <w:rFonts w:hint="eastAsia"/>
                <w:color w:val="FFFFFF"/>
                <w:sz w:val="21"/>
                <w:szCs w:val="21"/>
                <w:bdr w:val="single" w:color="auto" w:sz="4" w:space="0"/>
              </w:rPr>
              <w:t>√</w:t>
            </w:r>
            <w:r>
              <w:rPr>
                <w:rFonts w:hint="eastAsia"/>
              </w:rPr>
              <w:t>接受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8</w:t>
            </w:r>
          </w:p>
        </w:tc>
        <w:tc>
          <w:tcPr>
            <w:tcW w:w="2369" w:type="dxa"/>
            <w:vAlign w:val="center"/>
          </w:tcPr>
          <w:p>
            <w:pPr>
              <w:pStyle w:val="36"/>
              <w:jc w:val="center"/>
            </w:pPr>
            <w:r>
              <w:rPr>
                <w:rFonts w:hint="eastAsia"/>
              </w:rPr>
              <w:t>答疑会</w:t>
            </w:r>
          </w:p>
        </w:tc>
        <w:tc>
          <w:tcPr>
            <w:tcW w:w="6055" w:type="dxa"/>
            <w:vAlign w:val="center"/>
          </w:tcPr>
          <w:p>
            <w:pPr>
              <w:pStyle w:val="36"/>
              <w:ind w:firstLine="210" w:firstLineChars="100"/>
            </w:pPr>
            <w:r>
              <w:rPr>
                <w:rFonts w:hint="eastAsia"/>
                <w:sz w:val="21"/>
                <w:szCs w:val="21"/>
                <w:bdr w:val="single" w:color="auto" w:sz="4" w:space="0"/>
              </w:rPr>
              <w:t>√</w:t>
            </w:r>
            <w:r>
              <w:rPr>
                <w:rFonts w:hint="eastAsia"/>
              </w:rPr>
              <w:t>不召开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9</w:t>
            </w:r>
          </w:p>
        </w:tc>
        <w:tc>
          <w:tcPr>
            <w:tcW w:w="2369" w:type="dxa"/>
            <w:vAlign w:val="center"/>
          </w:tcPr>
          <w:p>
            <w:pPr>
              <w:pStyle w:val="36"/>
              <w:jc w:val="center"/>
            </w:pPr>
            <w:r>
              <w:rPr>
                <w:rFonts w:hint="eastAsia"/>
              </w:rPr>
              <w:t>投标人对招标文件提出质疑的时间</w:t>
            </w:r>
          </w:p>
        </w:tc>
        <w:tc>
          <w:tcPr>
            <w:tcW w:w="6055" w:type="dxa"/>
            <w:vAlign w:val="center"/>
          </w:tcPr>
          <w:p>
            <w:pPr>
              <w:pStyle w:val="36"/>
            </w:pPr>
            <w:r>
              <w:rPr>
                <w:rFonts w:hint="eastAsia"/>
              </w:rPr>
              <w:t>在提交投标文件截止时间16天前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10</w:t>
            </w:r>
          </w:p>
        </w:tc>
        <w:tc>
          <w:tcPr>
            <w:tcW w:w="2369" w:type="dxa"/>
            <w:vAlign w:val="center"/>
          </w:tcPr>
          <w:p>
            <w:pPr>
              <w:pStyle w:val="36"/>
              <w:jc w:val="center"/>
            </w:pPr>
            <w:r>
              <w:rPr>
                <w:rFonts w:hint="eastAsia"/>
              </w:rPr>
              <w:t>分包</w:t>
            </w:r>
          </w:p>
        </w:tc>
        <w:tc>
          <w:tcPr>
            <w:tcW w:w="6055" w:type="dxa"/>
            <w:vAlign w:val="center"/>
          </w:tcPr>
          <w:p>
            <w:pPr>
              <w:pStyle w:val="36"/>
              <w:ind w:firstLine="210" w:firstLineChars="100"/>
            </w:pPr>
            <w:r>
              <w:rPr>
                <w:rFonts w:hint="eastAsia"/>
                <w:sz w:val="21"/>
                <w:szCs w:val="21"/>
                <w:bdr w:val="single" w:color="auto" w:sz="4" w:space="0"/>
              </w:rPr>
              <w:t>√</w:t>
            </w:r>
            <w:r>
              <w:rPr>
                <w:rFonts w:hint="eastAsia"/>
              </w:rPr>
              <w:t>禁止转包、违法分包或借用资质投标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11</w:t>
            </w:r>
          </w:p>
        </w:tc>
        <w:tc>
          <w:tcPr>
            <w:tcW w:w="2369" w:type="dxa"/>
            <w:vAlign w:val="center"/>
          </w:tcPr>
          <w:p>
            <w:pPr>
              <w:pStyle w:val="36"/>
              <w:jc w:val="center"/>
            </w:pPr>
            <w:r>
              <w:rPr>
                <w:rFonts w:hint="eastAsia"/>
              </w:rPr>
              <w:t>构成招标文件的其他文件</w:t>
            </w:r>
          </w:p>
        </w:tc>
        <w:tc>
          <w:tcPr>
            <w:tcW w:w="6055" w:type="dxa"/>
            <w:vAlign w:val="center"/>
          </w:tcPr>
          <w:p>
            <w:pPr>
              <w:pStyle w:val="36"/>
            </w:pPr>
            <w:r>
              <w:rPr>
                <w:rFonts w:hint="eastAsia"/>
              </w:rPr>
              <w:t>招标文件的澄清、修改书及有关补充通知为招标文件的有效组成部分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12</w:t>
            </w:r>
          </w:p>
        </w:tc>
        <w:tc>
          <w:tcPr>
            <w:tcW w:w="2369" w:type="dxa"/>
            <w:vAlign w:val="center"/>
          </w:tcPr>
          <w:p>
            <w:pPr>
              <w:pStyle w:val="36"/>
              <w:jc w:val="center"/>
            </w:pPr>
            <w:r>
              <w:rPr>
                <w:rFonts w:hint="eastAsia"/>
              </w:rPr>
              <w:t>投标有效期</w:t>
            </w:r>
          </w:p>
        </w:tc>
        <w:tc>
          <w:tcPr>
            <w:tcW w:w="6055" w:type="dxa"/>
            <w:vAlign w:val="center"/>
          </w:tcPr>
          <w:p>
            <w:pPr>
              <w:pStyle w:val="36"/>
            </w:pPr>
            <w:r>
              <w:rPr>
                <w:rFonts w:hint="eastAsia"/>
              </w:rPr>
              <w:t>招标截止日期后</w:t>
            </w:r>
            <w:r>
              <w:rPr>
                <w:rFonts w:hint="eastAsia"/>
                <w:u w:val="single"/>
              </w:rPr>
              <w:t xml:space="preserve"> 90</w:t>
            </w:r>
            <w:r>
              <w:rPr>
                <w:u w:val="single"/>
              </w:rPr>
              <w:t xml:space="preserve"> </w:t>
            </w:r>
            <w:r>
              <w:rPr>
                <w:rFonts w:hint="eastAsia"/>
              </w:rPr>
              <w:t>天（日历天）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438" w:hRule="atLeast"/>
          <w:jc w:val="center"/>
        </w:trPr>
        <w:tc>
          <w:tcPr>
            <w:tcW w:w="605" w:type="dxa"/>
            <w:vAlign w:val="center"/>
          </w:tcPr>
          <w:p>
            <w:pPr>
              <w:pStyle w:val="36"/>
              <w:jc w:val="center"/>
            </w:pPr>
            <w:r>
              <w:rPr>
                <w:rFonts w:hint="eastAsia"/>
              </w:rPr>
              <w:t>13</w:t>
            </w:r>
          </w:p>
        </w:tc>
        <w:tc>
          <w:tcPr>
            <w:tcW w:w="2369" w:type="dxa"/>
            <w:vAlign w:val="center"/>
          </w:tcPr>
          <w:p>
            <w:pPr>
              <w:pStyle w:val="36"/>
              <w:jc w:val="center"/>
            </w:pPr>
            <w:r>
              <w:rPr>
                <w:rFonts w:hint="eastAsia"/>
              </w:rPr>
              <w:t>签字盖章</w:t>
            </w:r>
          </w:p>
        </w:tc>
        <w:tc>
          <w:tcPr>
            <w:tcW w:w="6055" w:type="dxa"/>
            <w:vAlign w:val="center"/>
          </w:tcPr>
          <w:p>
            <w:pPr>
              <w:pStyle w:val="36"/>
            </w:pPr>
            <w:r>
              <w:rPr>
                <w:rFonts w:hint="eastAsia"/>
              </w:rPr>
              <w:t>（1）所有要求签字的地方都应用不褪色的墨水或签字笔由本人亲笔手写签字(包括姓和名)，不得用盖章（如签名章、签字章等）代替，也不得由他人代签。</w:t>
            </w:r>
          </w:p>
          <w:p>
            <w:pPr>
              <w:pStyle w:val="36"/>
            </w:pPr>
            <w:r>
              <w:rPr>
                <w:rFonts w:hint="eastAsia"/>
              </w:rPr>
              <w:t>（2）所有要求盖章的地方都应加盖投标人单位（法定名称）章（鲜章）,不得使用专用印章（如经济合同章、投标专用章等）或下属单位印章代替。投标工程量清单需全部盖鲜章。</w:t>
            </w:r>
          </w:p>
          <w:p>
            <w:pPr>
              <w:pStyle w:val="36"/>
            </w:pPr>
            <w:r>
              <w:rPr>
                <w:rFonts w:hint="eastAsia"/>
              </w:rPr>
              <w:t>（3）投标文件格式中要求投标人“法定代表人或其委托代理人”签字的，如法定代表人亲自投标而不委托代理人投标，由法定代表人签字；如法定代表人授权委托代理人投标，由委托代理人签字，也可由法定代表人签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14</w:t>
            </w:r>
          </w:p>
        </w:tc>
        <w:tc>
          <w:tcPr>
            <w:tcW w:w="2369" w:type="dxa"/>
            <w:vAlign w:val="center"/>
          </w:tcPr>
          <w:p>
            <w:pPr>
              <w:pStyle w:val="36"/>
              <w:jc w:val="center"/>
            </w:pPr>
            <w:r>
              <w:rPr>
                <w:rFonts w:hint="eastAsia"/>
              </w:rPr>
              <w:t>投标文件份数</w:t>
            </w:r>
          </w:p>
        </w:tc>
        <w:tc>
          <w:tcPr>
            <w:tcW w:w="6055" w:type="dxa"/>
            <w:vAlign w:val="center"/>
          </w:tcPr>
          <w:p>
            <w:pPr>
              <w:pStyle w:val="36"/>
            </w:pPr>
            <w:r>
              <w:rPr>
                <w:rFonts w:hint="eastAsia"/>
              </w:rPr>
              <w:t>正本</w:t>
            </w:r>
            <w:r>
              <w:rPr>
                <w:rFonts w:hint="eastAsia"/>
                <w:u w:val="single"/>
              </w:rPr>
              <w:t>1</w:t>
            </w:r>
            <w:r>
              <w:rPr>
                <w:rFonts w:hint="eastAsia"/>
              </w:rPr>
              <w:t>份；副本</w:t>
            </w:r>
            <w:r>
              <w:rPr>
                <w:rFonts w:hint="eastAsia"/>
                <w:u w:val="single"/>
              </w:rPr>
              <w:t xml:space="preserve"> 2 </w:t>
            </w:r>
            <w:r>
              <w:rPr>
                <w:rFonts w:hint="eastAsia"/>
              </w:rPr>
              <w:t>份；装有投标文件电子文档及正本扫描件的U盘</w:t>
            </w:r>
            <w:r>
              <w:rPr>
                <w:rFonts w:hint="eastAsia"/>
                <w:u w:val="single"/>
              </w:rPr>
              <w:t>1</w:t>
            </w:r>
            <w:r>
              <w:rPr>
                <w:rFonts w:hint="eastAsia"/>
              </w:rPr>
              <w:t>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15</w:t>
            </w:r>
          </w:p>
        </w:tc>
        <w:tc>
          <w:tcPr>
            <w:tcW w:w="2369" w:type="dxa"/>
            <w:vAlign w:val="center"/>
          </w:tcPr>
          <w:p>
            <w:pPr>
              <w:pStyle w:val="36"/>
              <w:jc w:val="center"/>
            </w:pPr>
            <w:r>
              <w:rPr>
                <w:rFonts w:hint="eastAsia"/>
              </w:rPr>
              <w:t>投标文件封面的</w:t>
            </w:r>
            <w:r>
              <w:br/>
            </w:r>
            <w:r>
              <w:rPr>
                <w:rFonts w:hint="eastAsia"/>
              </w:rPr>
              <w:t>标注</w:t>
            </w:r>
          </w:p>
        </w:tc>
        <w:tc>
          <w:tcPr>
            <w:tcW w:w="6055" w:type="dxa"/>
            <w:vAlign w:val="center"/>
          </w:tcPr>
          <w:p>
            <w:pPr>
              <w:pStyle w:val="36"/>
            </w:pPr>
            <w:r>
              <w:rPr>
                <w:rFonts w:hint="eastAsia"/>
              </w:rPr>
              <w:t>投标文件正本和副本的封面上均应标明：招标项目名称、标段号(如涉及则标明)、投标人名称、年月日；并分别在右上角标明“正本”和“副本”字样。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16</w:t>
            </w:r>
          </w:p>
        </w:tc>
        <w:tc>
          <w:tcPr>
            <w:tcW w:w="2369" w:type="dxa"/>
            <w:vAlign w:val="center"/>
          </w:tcPr>
          <w:p>
            <w:pPr>
              <w:pStyle w:val="36"/>
              <w:jc w:val="center"/>
            </w:pPr>
            <w:r>
              <w:rPr>
                <w:rFonts w:hint="eastAsia"/>
              </w:rPr>
              <w:t>投标文件外层</w:t>
            </w:r>
          </w:p>
          <w:p>
            <w:pPr>
              <w:pStyle w:val="36"/>
              <w:jc w:val="center"/>
            </w:pPr>
            <w:r>
              <w:rPr>
                <w:rFonts w:hint="eastAsia"/>
              </w:rPr>
              <w:t>密封袋的标注</w:t>
            </w:r>
          </w:p>
        </w:tc>
        <w:tc>
          <w:tcPr>
            <w:tcW w:w="6055" w:type="dxa"/>
            <w:vAlign w:val="center"/>
          </w:tcPr>
          <w:p>
            <w:pPr>
              <w:pStyle w:val="36"/>
            </w:pPr>
            <w:r>
              <w:rPr>
                <w:rFonts w:hint="eastAsia"/>
              </w:rPr>
              <w:t>招标项目名称、标段号(如涉及则标明)、投标人名称、年月日。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17</w:t>
            </w:r>
          </w:p>
        </w:tc>
        <w:tc>
          <w:tcPr>
            <w:tcW w:w="2369" w:type="dxa"/>
            <w:vAlign w:val="center"/>
          </w:tcPr>
          <w:p>
            <w:pPr>
              <w:pStyle w:val="36"/>
              <w:jc w:val="center"/>
            </w:pPr>
            <w:r>
              <w:rPr>
                <w:rFonts w:hint="eastAsia"/>
              </w:rPr>
              <w:t>是否授权评审委员会直接确定中标人</w:t>
            </w:r>
          </w:p>
        </w:tc>
        <w:tc>
          <w:tcPr>
            <w:tcW w:w="6055" w:type="dxa"/>
            <w:vAlign w:val="center"/>
          </w:tcPr>
          <w:p>
            <w:pPr>
              <w:pStyle w:val="36"/>
              <w:ind w:firstLine="210" w:firstLineChars="100"/>
            </w:pPr>
            <w:r>
              <w:rPr>
                <w:rFonts w:hint="eastAsia"/>
                <w:sz w:val="21"/>
                <w:szCs w:val="21"/>
                <w:bdr w:val="single" w:color="auto" w:sz="4" w:space="0"/>
              </w:rPr>
              <w:t>√</w:t>
            </w:r>
            <w:r>
              <w:rPr>
                <w:rFonts w:hint="eastAsia"/>
              </w:rPr>
              <w:t>否，推荐中标候选人的数量：</w:t>
            </w:r>
            <w:r>
              <w:rPr>
                <w:rFonts w:hint="eastAsia"/>
                <w:u w:val="single"/>
              </w:rPr>
              <w:t xml:space="preserve"> 1～3 </w:t>
            </w:r>
            <w:r>
              <w:rPr>
                <w:rFonts w:hint="eastAsia"/>
              </w:rPr>
              <w:t>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18</w:t>
            </w:r>
          </w:p>
        </w:tc>
        <w:tc>
          <w:tcPr>
            <w:tcW w:w="2369" w:type="dxa"/>
            <w:vAlign w:val="center"/>
          </w:tcPr>
          <w:p>
            <w:pPr>
              <w:pStyle w:val="36"/>
              <w:jc w:val="center"/>
            </w:pPr>
            <w:r>
              <w:rPr>
                <w:rFonts w:hint="eastAsia"/>
              </w:rPr>
              <w:t>投标保证金</w:t>
            </w:r>
          </w:p>
        </w:tc>
        <w:tc>
          <w:tcPr>
            <w:tcW w:w="6055" w:type="dxa"/>
            <w:vAlign w:val="center"/>
          </w:tcPr>
          <w:p>
            <w:pPr>
              <w:pStyle w:val="36"/>
            </w:pPr>
            <w:r>
              <w:rPr>
                <w:rFonts w:hint="eastAsia"/>
              </w:rPr>
              <w:t>本项目不设投标保证金。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6"/>
              <w:jc w:val="center"/>
            </w:pPr>
            <w:r>
              <w:rPr>
                <w:rFonts w:hint="eastAsia"/>
              </w:rPr>
              <w:t>19</w:t>
            </w:r>
          </w:p>
        </w:tc>
        <w:tc>
          <w:tcPr>
            <w:tcW w:w="2369" w:type="dxa"/>
            <w:vAlign w:val="center"/>
          </w:tcPr>
          <w:p>
            <w:pPr>
              <w:pStyle w:val="36"/>
              <w:jc w:val="center"/>
            </w:pPr>
            <w:r>
              <w:rPr>
                <w:rFonts w:hint="eastAsia"/>
              </w:rPr>
              <w:t>招标控制价</w:t>
            </w:r>
          </w:p>
        </w:tc>
        <w:tc>
          <w:tcPr>
            <w:tcW w:w="6055" w:type="dxa"/>
            <w:vAlign w:val="center"/>
          </w:tcPr>
          <w:p>
            <w:pPr>
              <w:pStyle w:val="36"/>
            </w:pPr>
            <w:r>
              <w:rPr>
                <w:rFonts w:hint="eastAsia"/>
              </w:rPr>
              <w:t>本项目</w:t>
            </w:r>
            <w:r>
              <w:rPr>
                <w:rFonts w:hint="eastAsia"/>
                <w:highlight w:val="none"/>
              </w:rPr>
              <w:t>不设招标控制价。</w:t>
            </w:r>
          </w:p>
        </w:tc>
      </w:tr>
    </w:tbl>
    <w:p>
      <w:pPr>
        <w:pStyle w:val="70"/>
        <w:ind w:firstLine="560"/>
      </w:pPr>
      <w:r>
        <w:rPr>
          <w:rFonts w:hint="eastAsia"/>
        </w:rPr>
        <w:t>注：表中的“</w:t>
      </w:r>
      <w:r>
        <w:rPr>
          <w:rFonts w:hint="eastAsia"/>
          <w:sz w:val="21"/>
          <w:szCs w:val="21"/>
          <w:bdr w:val="single" w:color="auto" w:sz="4" w:space="0"/>
        </w:rPr>
        <w:t>√</w:t>
      </w:r>
      <w:r>
        <w:rPr>
          <w:rFonts w:hint="eastAsia"/>
        </w:rPr>
        <w:t>”项为选择项中被选项。</w:t>
      </w:r>
    </w:p>
    <w:p>
      <w:pPr>
        <w:pStyle w:val="4"/>
        <w:ind w:firstLine="560"/>
      </w:pPr>
      <w:r>
        <w:br w:type="page"/>
      </w:r>
      <w:bookmarkStart w:id="31" w:name="_Toc20418"/>
      <w:r>
        <w:t>1. 适用范围</w:t>
      </w:r>
    </w:p>
    <w:p>
      <w:pPr>
        <w:pStyle w:val="70"/>
        <w:ind w:firstLine="560"/>
      </w:pPr>
      <w:r>
        <w:t>1.1 本招标文件仅适用于本次招标所叙述的项目招标。</w:t>
      </w:r>
    </w:p>
    <w:p>
      <w:pPr>
        <w:pStyle w:val="4"/>
        <w:ind w:firstLine="560"/>
      </w:pPr>
      <w:bookmarkStart w:id="32" w:name="_Toc183582206"/>
      <w:bookmarkStart w:id="33" w:name="_Toc183682343"/>
      <w:bookmarkStart w:id="34" w:name="_Toc317509232"/>
      <w:bookmarkStart w:id="35" w:name="_Toc325096467"/>
      <w:bookmarkStart w:id="36" w:name="_Toc325464816"/>
      <w:bookmarkStart w:id="37" w:name="_Toc317509385"/>
      <w:bookmarkStart w:id="38" w:name="_Toc217446035"/>
      <w:r>
        <w:t xml:space="preserve">2. </w:t>
      </w:r>
      <w:bookmarkEnd w:id="32"/>
      <w:bookmarkEnd w:id="33"/>
      <w:r>
        <w:t>有关定义</w:t>
      </w:r>
      <w:bookmarkEnd w:id="34"/>
      <w:bookmarkEnd w:id="35"/>
      <w:bookmarkEnd w:id="36"/>
      <w:bookmarkEnd w:id="37"/>
      <w:bookmarkEnd w:id="38"/>
    </w:p>
    <w:p>
      <w:pPr>
        <w:pStyle w:val="70"/>
        <w:ind w:firstLine="560"/>
      </w:pPr>
      <w:r>
        <w:t>2.1 本次招标的招标人是</w:t>
      </w:r>
      <w:r>
        <w:rPr>
          <w:u w:val="single"/>
        </w:rPr>
        <w:t>四川省能投攀枝花水电开发有限公司</w:t>
      </w:r>
      <w:r>
        <w:t xml:space="preserve">。 </w:t>
      </w:r>
    </w:p>
    <w:p>
      <w:pPr>
        <w:pStyle w:val="70"/>
        <w:ind w:firstLine="560"/>
      </w:pPr>
      <w:r>
        <w:t>2.2 “招标人”系指“招标单位”和“招标承办单位”的统称。</w:t>
      </w:r>
    </w:p>
    <w:p>
      <w:pPr>
        <w:pStyle w:val="70"/>
        <w:ind w:firstLine="560"/>
      </w:pPr>
      <w:r>
        <w:t>2.3 “投标人”系指购买了招标文件拟参加招标和向招标人提供相应服务的法人企业或其它组织。</w:t>
      </w:r>
    </w:p>
    <w:p>
      <w:pPr>
        <w:pStyle w:val="4"/>
        <w:ind w:firstLine="560"/>
      </w:pPr>
      <w:bookmarkStart w:id="39" w:name="_Toc325464817"/>
      <w:bookmarkStart w:id="40" w:name="_Toc317509386"/>
      <w:bookmarkStart w:id="41" w:name="_Toc317509233"/>
      <w:bookmarkStart w:id="42" w:name="_Toc217446036"/>
      <w:bookmarkStart w:id="43" w:name="_Toc325096468"/>
      <w:bookmarkStart w:id="44" w:name="_Toc217390843"/>
      <w:bookmarkStart w:id="45" w:name="_Toc183682344"/>
      <w:bookmarkStart w:id="46" w:name="_Toc183582207"/>
      <w:r>
        <w:t>3. 合格的</w:t>
      </w:r>
      <w:bookmarkEnd w:id="39"/>
      <w:bookmarkEnd w:id="40"/>
      <w:bookmarkEnd w:id="41"/>
      <w:bookmarkEnd w:id="42"/>
      <w:bookmarkEnd w:id="43"/>
      <w:bookmarkEnd w:id="44"/>
      <w:bookmarkEnd w:id="45"/>
      <w:bookmarkEnd w:id="46"/>
      <w:r>
        <w:t>投标人</w:t>
      </w:r>
    </w:p>
    <w:p>
      <w:pPr>
        <w:pStyle w:val="70"/>
        <w:ind w:firstLine="560"/>
      </w:pPr>
      <w:bookmarkStart w:id="47" w:name="_Toc317509234"/>
      <w:bookmarkStart w:id="48" w:name="_Toc183682345"/>
      <w:bookmarkStart w:id="49" w:name="_Toc183582208"/>
      <w:bookmarkStart w:id="50" w:name="_Toc325096469"/>
      <w:bookmarkStart w:id="51" w:name="_Toc217446037"/>
      <w:bookmarkStart w:id="52" w:name="_Toc325464818"/>
      <w:bookmarkStart w:id="53" w:name="_Toc317509387"/>
      <w:r>
        <w:t>3.1投标人应遵守有关的国家法律、法规和条例，具备本文件中规定的条件：</w:t>
      </w:r>
    </w:p>
    <w:p>
      <w:pPr>
        <w:pStyle w:val="70"/>
        <w:ind w:firstLine="560"/>
      </w:pPr>
      <w:r>
        <w:t>（1）具有独立承担民事责任的能力；</w:t>
      </w:r>
    </w:p>
    <w:p>
      <w:pPr>
        <w:pStyle w:val="70"/>
        <w:ind w:firstLine="560"/>
      </w:pPr>
      <w:r>
        <w:t>（2）具有良好的商业信誉和健全的财务会计制度；</w:t>
      </w:r>
    </w:p>
    <w:p>
      <w:pPr>
        <w:pStyle w:val="70"/>
        <w:ind w:firstLine="560"/>
      </w:pPr>
      <w:r>
        <w:t>（3）具有履行合同所必需的设备和专业技术能力；</w:t>
      </w:r>
    </w:p>
    <w:p>
      <w:pPr>
        <w:pStyle w:val="70"/>
        <w:ind w:firstLine="560"/>
      </w:pPr>
      <w:r>
        <w:t>（4）具有依法缴纳税收和社会保障资金的良好记录；</w:t>
      </w:r>
    </w:p>
    <w:p>
      <w:pPr>
        <w:pStyle w:val="70"/>
        <w:ind w:firstLine="560"/>
      </w:pPr>
      <w:r>
        <w:t>（5）参加此项招标活动前三年内，在经营活动中没有重大违法记录；</w:t>
      </w:r>
    </w:p>
    <w:p>
      <w:pPr>
        <w:pStyle w:val="70"/>
        <w:ind w:firstLine="560"/>
      </w:pPr>
      <w:r>
        <w:t>（6）法律、行政法规规定的其他条件；</w:t>
      </w:r>
    </w:p>
    <w:p>
      <w:pPr>
        <w:pStyle w:val="70"/>
        <w:ind w:firstLine="560"/>
      </w:pPr>
      <w:r>
        <w:t>（7）具有本招标文件对投标人所规定的资质条件；</w:t>
      </w:r>
    </w:p>
    <w:p>
      <w:pPr>
        <w:pStyle w:val="70"/>
        <w:ind w:firstLine="560"/>
      </w:pPr>
      <w:r>
        <w:t>3.2投标人必须是已在中国境内依法登记注册的独立法人</w:t>
      </w:r>
      <w:r>
        <w:rPr>
          <w:rFonts w:hint="eastAsia"/>
        </w:rPr>
        <w:t>或事业单位法人</w:t>
      </w:r>
      <w:r>
        <w:t>，并且其所持有的由工商行政管理部门所核发的有效的营业执照</w:t>
      </w:r>
      <w:r>
        <w:rPr>
          <w:rFonts w:hint="eastAsia"/>
        </w:rPr>
        <w:t>或事业单位法人资格证书</w:t>
      </w:r>
      <w:r>
        <w:t>上载明的营业期限剩余时间应当不少于本次招标的相关合同基本义务履行所需期限，或已经提供相关证明材料能够证明具有履约能力。否则，招标人及评审委员会有权拒绝其本次报价。</w:t>
      </w:r>
    </w:p>
    <w:p>
      <w:pPr>
        <w:pStyle w:val="70"/>
        <w:ind w:firstLine="560"/>
      </w:pPr>
      <w:r>
        <w:t>3.3依法注册的投标人其注册资金应足以保证本项目实施过程中的风险承担和赔付能力。</w:t>
      </w:r>
    </w:p>
    <w:p>
      <w:pPr>
        <w:pStyle w:val="4"/>
        <w:ind w:firstLine="560"/>
      </w:pPr>
      <w:r>
        <w:t>4. 招标费用</w:t>
      </w:r>
      <w:bookmarkEnd w:id="47"/>
      <w:bookmarkEnd w:id="48"/>
      <w:bookmarkEnd w:id="49"/>
      <w:bookmarkEnd w:id="50"/>
      <w:bookmarkEnd w:id="51"/>
      <w:bookmarkEnd w:id="52"/>
      <w:bookmarkEnd w:id="53"/>
    </w:p>
    <w:p>
      <w:pPr>
        <w:pStyle w:val="70"/>
        <w:ind w:firstLine="560"/>
      </w:pPr>
      <w:r>
        <w:t>4.1投标人参加招标的有关一切费用由投标人自行承担。</w:t>
      </w:r>
    </w:p>
    <w:p>
      <w:pPr>
        <w:pStyle w:val="4"/>
        <w:ind w:firstLine="560"/>
      </w:pPr>
      <w:bookmarkStart w:id="54" w:name="_Toc183682347"/>
      <w:bookmarkStart w:id="55" w:name="_Toc317509389"/>
      <w:bookmarkStart w:id="56" w:name="_Toc325096471"/>
      <w:bookmarkStart w:id="57" w:name="_Toc217446039"/>
      <w:bookmarkStart w:id="58" w:name="_Toc183582210"/>
      <w:bookmarkStart w:id="59" w:name="_Toc317509236"/>
      <w:bookmarkStart w:id="60" w:name="_Toc325464820"/>
      <w:r>
        <w:t>5</w:t>
      </w:r>
      <w:r>
        <w:rPr>
          <w:rFonts w:hint="eastAsia"/>
        </w:rPr>
        <w:t>.</w:t>
      </w:r>
      <w:r>
        <w:t xml:space="preserve"> 招标文件的构成</w:t>
      </w:r>
      <w:bookmarkEnd w:id="54"/>
      <w:bookmarkEnd w:id="55"/>
      <w:bookmarkEnd w:id="56"/>
      <w:bookmarkEnd w:id="57"/>
      <w:bookmarkEnd w:id="58"/>
      <w:bookmarkEnd w:id="59"/>
      <w:bookmarkEnd w:id="60"/>
      <w:r>
        <w:t xml:space="preserve">  </w:t>
      </w:r>
    </w:p>
    <w:p>
      <w:pPr>
        <w:pStyle w:val="70"/>
        <w:ind w:firstLine="560"/>
      </w:pPr>
      <w:r>
        <w:t>5.1 招标文件用以阐明招标项目所需的资质、技术、服务、设备及报价等要求、招标程序、有关规定和注意事项以及合同主要条款等。本招标文件包括以下内容：</w:t>
      </w:r>
    </w:p>
    <w:p>
      <w:pPr>
        <w:pStyle w:val="70"/>
        <w:ind w:firstLine="560"/>
      </w:pPr>
      <w:r>
        <w:t>（1）招标公告</w:t>
      </w:r>
    </w:p>
    <w:p>
      <w:pPr>
        <w:pStyle w:val="70"/>
        <w:ind w:firstLine="560"/>
      </w:pPr>
      <w:r>
        <w:t>（2）投标须知及前附表</w:t>
      </w:r>
    </w:p>
    <w:p>
      <w:pPr>
        <w:pStyle w:val="70"/>
        <w:ind w:firstLine="560"/>
      </w:pPr>
      <w:r>
        <w:t>（3）评标办法</w:t>
      </w:r>
    </w:p>
    <w:p>
      <w:pPr>
        <w:pStyle w:val="70"/>
        <w:ind w:firstLine="560"/>
      </w:pPr>
      <w:r>
        <w:t>（4）合同条款及格式</w:t>
      </w:r>
    </w:p>
    <w:p>
      <w:pPr>
        <w:pStyle w:val="70"/>
        <w:ind w:firstLine="560"/>
      </w:pPr>
      <w:r>
        <w:t>（5）</w:t>
      </w:r>
      <w:r>
        <w:rPr>
          <w:rFonts w:hint="eastAsia"/>
        </w:rPr>
        <w:t>发包人</w:t>
      </w:r>
      <w:r>
        <w:t>要求</w:t>
      </w:r>
    </w:p>
    <w:p>
      <w:pPr>
        <w:pStyle w:val="70"/>
        <w:ind w:firstLine="560"/>
      </w:pPr>
      <w:r>
        <w:t>（6）投标文件格式</w:t>
      </w:r>
    </w:p>
    <w:p>
      <w:pPr>
        <w:pStyle w:val="70"/>
        <w:ind w:firstLine="560"/>
      </w:pPr>
      <w:r>
        <w:t>5.2 投标人应认真阅读和充分理解招标文件中所有的事项、格式条款和规范要求。投标人没有按照招标文件要求</w:t>
      </w:r>
      <w:r>
        <w:rPr>
          <w:rFonts w:hint="eastAsia"/>
        </w:rPr>
        <w:t>做出</w:t>
      </w:r>
      <w:r>
        <w:t>实质性响应的投标文件将被拒绝。</w:t>
      </w:r>
    </w:p>
    <w:p>
      <w:pPr>
        <w:pStyle w:val="4"/>
        <w:ind w:firstLine="560"/>
      </w:pPr>
      <w:bookmarkStart w:id="61" w:name="_Toc183682348"/>
      <w:bookmarkStart w:id="62" w:name="_Toc183582211"/>
      <w:bookmarkStart w:id="63" w:name="_Toc317509237"/>
      <w:bookmarkStart w:id="64" w:name="_Toc317509390"/>
      <w:bookmarkStart w:id="65" w:name="_Toc325464821"/>
      <w:bookmarkStart w:id="66" w:name="_Toc217446040"/>
      <w:bookmarkStart w:id="67" w:name="_Toc325096472"/>
      <w:r>
        <w:t>6. 招标文件的澄清</w:t>
      </w:r>
      <w:bookmarkEnd w:id="61"/>
      <w:bookmarkEnd w:id="62"/>
      <w:r>
        <w:t>和修改</w:t>
      </w:r>
      <w:bookmarkEnd w:id="63"/>
      <w:bookmarkEnd w:id="64"/>
      <w:bookmarkEnd w:id="65"/>
      <w:bookmarkEnd w:id="66"/>
      <w:bookmarkEnd w:id="67"/>
    </w:p>
    <w:p>
      <w:pPr>
        <w:pStyle w:val="70"/>
        <w:ind w:firstLine="560"/>
      </w:pPr>
      <w:r>
        <w:t>6.1 在招标截止时间前，招标人无论出于何种原因，可以对招标文件进行澄清或者修改。</w:t>
      </w:r>
    </w:p>
    <w:p>
      <w:pPr>
        <w:pStyle w:val="4"/>
        <w:ind w:firstLine="560"/>
      </w:pPr>
      <w:bookmarkStart w:id="68" w:name="_Toc183582213"/>
      <w:bookmarkStart w:id="69" w:name="_Toc183682350"/>
      <w:bookmarkStart w:id="70" w:name="_Toc317509391"/>
      <w:bookmarkStart w:id="71" w:name="_Toc317509238"/>
      <w:bookmarkStart w:id="72" w:name="_Toc217446041"/>
      <w:bookmarkStart w:id="73" w:name="_Toc325464822"/>
      <w:bookmarkStart w:id="74" w:name="_Toc325096473"/>
      <w:bookmarkStart w:id="75" w:name="_Toc208848971"/>
      <w:bookmarkStart w:id="76" w:name="_Toc183682351"/>
      <w:bookmarkStart w:id="77" w:name="_Toc89075876"/>
      <w:bookmarkStart w:id="78" w:name="_Toc217446042"/>
      <w:bookmarkStart w:id="79" w:name="_Toc77400780"/>
      <w:bookmarkStart w:id="80" w:name="_Toc183582214"/>
      <w:r>
        <w:t>7</w:t>
      </w:r>
      <w:bookmarkEnd w:id="68"/>
      <w:bookmarkEnd w:id="69"/>
      <w:r>
        <w:t>. 答疑会</w:t>
      </w:r>
      <w:bookmarkEnd w:id="70"/>
      <w:bookmarkEnd w:id="71"/>
      <w:bookmarkEnd w:id="72"/>
      <w:bookmarkEnd w:id="73"/>
      <w:bookmarkEnd w:id="74"/>
      <w:bookmarkEnd w:id="75"/>
    </w:p>
    <w:p>
      <w:pPr>
        <w:pStyle w:val="70"/>
        <w:ind w:firstLine="560"/>
      </w:pPr>
      <w:r>
        <w:t>7.1 根据招标项目和具体情况，若有必要召开，将以书面形式通知所有购买了招标文件的投标人。</w:t>
      </w:r>
      <w:bookmarkStart w:id="81" w:name="_Toc325464823"/>
    </w:p>
    <w:bookmarkEnd w:id="76"/>
    <w:bookmarkEnd w:id="77"/>
    <w:bookmarkEnd w:id="78"/>
    <w:bookmarkEnd w:id="79"/>
    <w:bookmarkEnd w:id="80"/>
    <w:bookmarkEnd w:id="81"/>
    <w:p>
      <w:pPr>
        <w:pStyle w:val="4"/>
        <w:ind w:firstLine="560"/>
      </w:pPr>
      <w:bookmarkStart w:id="82" w:name="_Toc325464824"/>
      <w:bookmarkStart w:id="83" w:name="_Toc317509393"/>
      <w:bookmarkStart w:id="84" w:name="_Toc325096475"/>
      <w:bookmarkStart w:id="85" w:name="_Toc317509240"/>
      <w:bookmarkStart w:id="86" w:name="_Toc217446043"/>
      <w:bookmarkStart w:id="87" w:name="_Toc183582215"/>
      <w:bookmarkStart w:id="88" w:name="_Toc183682352"/>
      <w:r>
        <w:t>8. 投标文件的语言</w:t>
      </w:r>
      <w:bookmarkEnd w:id="82"/>
      <w:bookmarkEnd w:id="83"/>
      <w:bookmarkEnd w:id="84"/>
      <w:bookmarkEnd w:id="85"/>
      <w:bookmarkEnd w:id="86"/>
      <w:bookmarkEnd w:id="87"/>
      <w:bookmarkEnd w:id="88"/>
    </w:p>
    <w:p>
      <w:pPr>
        <w:pStyle w:val="70"/>
        <w:ind w:firstLine="560"/>
      </w:pPr>
      <w:r>
        <w:t>8.1 投标人提交的投标文件以及投标人与招标人就有关招标的所有来往书面文件均须使用中文。投标文件中如附有外文资料，必须逐一对应翻译成中文并加盖投标人公章后附在相关外文资料后面。</w:t>
      </w:r>
      <w:bookmarkStart w:id="89" w:name="_Toc183582216"/>
      <w:bookmarkStart w:id="90" w:name="_Toc325464825"/>
      <w:bookmarkStart w:id="91" w:name="_Toc317509394"/>
      <w:bookmarkStart w:id="92" w:name="_Toc217446044"/>
      <w:bookmarkStart w:id="93" w:name="_Toc183682353"/>
      <w:bookmarkStart w:id="94" w:name="_Toc317509241"/>
      <w:bookmarkStart w:id="95" w:name="_Toc325096476"/>
    </w:p>
    <w:p>
      <w:pPr>
        <w:pStyle w:val="4"/>
        <w:ind w:firstLine="560"/>
      </w:pPr>
      <w:r>
        <w:t>9. 计量单位</w:t>
      </w:r>
      <w:bookmarkEnd w:id="89"/>
      <w:bookmarkEnd w:id="90"/>
      <w:bookmarkEnd w:id="91"/>
      <w:bookmarkEnd w:id="92"/>
      <w:bookmarkEnd w:id="93"/>
      <w:bookmarkEnd w:id="94"/>
      <w:bookmarkEnd w:id="95"/>
    </w:p>
    <w:p>
      <w:pPr>
        <w:pStyle w:val="70"/>
        <w:ind w:firstLine="560"/>
      </w:pPr>
      <w:r>
        <w:t>9.1除技术规格及要求中另有规定外，本招标项目的招标均采用国家法定的计量单位。</w:t>
      </w:r>
    </w:p>
    <w:p>
      <w:pPr>
        <w:pStyle w:val="4"/>
        <w:ind w:firstLine="560"/>
      </w:pPr>
      <w:r>
        <w:t>10. 招标货币</w:t>
      </w:r>
    </w:p>
    <w:p>
      <w:pPr>
        <w:pStyle w:val="70"/>
        <w:ind w:firstLine="560"/>
      </w:pPr>
      <w:r>
        <w:t>10.1本次招标项目的招标均以人民币报价。</w:t>
      </w:r>
      <w:bookmarkStart w:id="96" w:name="_Toc325464827"/>
      <w:bookmarkStart w:id="97" w:name="_Toc317509396"/>
      <w:bookmarkStart w:id="98" w:name="_Toc317509243"/>
      <w:bookmarkStart w:id="99" w:name="_Toc325096478"/>
      <w:bookmarkStart w:id="100" w:name="_Toc217446046"/>
    </w:p>
    <w:p>
      <w:pPr>
        <w:pStyle w:val="4"/>
        <w:ind w:firstLine="560"/>
      </w:pPr>
      <w:r>
        <w:t>11. 联合招标</w:t>
      </w:r>
      <w:bookmarkEnd w:id="96"/>
      <w:bookmarkEnd w:id="97"/>
      <w:bookmarkEnd w:id="98"/>
      <w:bookmarkEnd w:id="99"/>
      <w:bookmarkEnd w:id="100"/>
    </w:p>
    <w:p>
      <w:pPr>
        <w:pStyle w:val="70"/>
        <w:ind w:firstLine="560"/>
      </w:pPr>
      <w:r>
        <w:t>11.1</w:t>
      </w:r>
      <w:bookmarkStart w:id="101" w:name="_Toc217446047"/>
      <w:r>
        <w:t>不允许联合体参与投标</w:t>
      </w:r>
      <w:bookmarkStart w:id="102" w:name="_Toc317509244"/>
      <w:bookmarkStart w:id="103" w:name="_Toc325464828"/>
      <w:bookmarkStart w:id="104" w:name="_Toc317509397"/>
      <w:bookmarkStart w:id="105" w:name="_Toc325096479"/>
    </w:p>
    <w:p>
      <w:pPr>
        <w:pStyle w:val="4"/>
        <w:ind w:firstLine="560"/>
      </w:pPr>
      <w:r>
        <w:t>12. 知识产权</w:t>
      </w:r>
      <w:bookmarkEnd w:id="101"/>
      <w:bookmarkEnd w:id="102"/>
      <w:bookmarkEnd w:id="103"/>
      <w:bookmarkEnd w:id="104"/>
      <w:bookmarkEnd w:id="105"/>
    </w:p>
    <w:p>
      <w:pPr>
        <w:pStyle w:val="70"/>
        <w:ind w:firstLine="560"/>
      </w:pPr>
      <w:r>
        <w:t>12.1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bookmarkStart w:id="106" w:name="_Toc317509398"/>
      <w:bookmarkStart w:id="107" w:name="_Toc183682354"/>
      <w:bookmarkStart w:id="108" w:name="_Toc325464829"/>
      <w:bookmarkStart w:id="109" w:name="_Toc317509245"/>
      <w:bookmarkStart w:id="110" w:name="_Toc183582217"/>
      <w:bookmarkStart w:id="111" w:name="_Toc325096480"/>
      <w:bookmarkStart w:id="112" w:name="_Toc217446048"/>
    </w:p>
    <w:p>
      <w:pPr>
        <w:pStyle w:val="4"/>
        <w:ind w:firstLine="560"/>
      </w:pPr>
      <w:r>
        <w:t>13. 投标文件的组成</w:t>
      </w:r>
      <w:bookmarkEnd w:id="106"/>
      <w:bookmarkEnd w:id="107"/>
      <w:bookmarkEnd w:id="108"/>
      <w:bookmarkEnd w:id="109"/>
      <w:bookmarkEnd w:id="110"/>
      <w:bookmarkEnd w:id="111"/>
      <w:bookmarkEnd w:id="112"/>
    </w:p>
    <w:p>
      <w:pPr>
        <w:pStyle w:val="70"/>
        <w:ind w:firstLine="560"/>
      </w:pPr>
      <w:r>
        <w:t>投标人应按照招标文件的规定和要求编制投标文件。投标人拟在中标后将中标项目的非主体、非关键性工作交由他人完成的，应当在投标文件中载明。投标人编写的投标文件应包括下列部分：</w:t>
      </w:r>
    </w:p>
    <w:p>
      <w:pPr>
        <w:pStyle w:val="70"/>
        <w:ind w:firstLine="560"/>
      </w:pPr>
      <w:r>
        <w:t>1、</w:t>
      </w:r>
      <w:bookmarkStart w:id="113" w:name="_Hlk45716375"/>
      <w:r>
        <w:t>投标申请函、法定代表人身份证明</w:t>
      </w:r>
      <w:r>
        <w:rPr>
          <w:rFonts w:hint="eastAsia"/>
        </w:rPr>
        <w:t>、</w:t>
      </w:r>
      <w:r>
        <w:t>法定代表人授权委托书</w:t>
      </w:r>
      <w:bookmarkEnd w:id="113"/>
    </w:p>
    <w:p>
      <w:pPr>
        <w:pStyle w:val="70"/>
        <w:ind w:firstLine="560"/>
      </w:pPr>
      <w:r>
        <w:t>2、</w:t>
      </w:r>
      <w:r>
        <w:rPr>
          <w:rFonts w:hint="eastAsia"/>
          <w:highlight w:val="none"/>
        </w:rPr>
        <w:t>报价函及分项报价表</w:t>
      </w:r>
    </w:p>
    <w:p>
      <w:pPr>
        <w:pStyle w:val="70"/>
        <w:ind w:firstLine="560"/>
      </w:pPr>
      <w:r>
        <w:t>3、资格审查资料</w:t>
      </w:r>
    </w:p>
    <w:p>
      <w:pPr>
        <w:pStyle w:val="70"/>
        <w:ind w:firstLine="560"/>
      </w:pPr>
      <w:r>
        <w:t>4、</w:t>
      </w:r>
      <w:r>
        <w:rPr>
          <w:rFonts w:hint="eastAsia"/>
          <w:highlight w:val="none"/>
        </w:rPr>
        <w:t>投标人概况及</w:t>
      </w:r>
      <w:r>
        <w:t>近</w:t>
      </w:r>
      <w:r>
        <w:rPr>
          <w:rFonts w:hint="eastAsia"/>
        </w:rPr>
        <w:t>3</w:t>
      </w:r>
      <w:r>
        <w:t>年（</w:t>
      </w:r>
      <w:r>
        <w:rPr>
          <w:rFonts w:hint="eastAsia"/>
        </w:rPr>
        <w:t>2017-</w:t>
      </w:r>
      <w:r>
        <w:rPr>
          <w:rFonts w:hint="eastAsia"/>
          <w:highlight w:val="none"/>
        </w:rPr>
        <w:t>2019年</w:t>
      </w:r>
      <w:r>
        <w:t>）经审计的财务报表</w:t>
      </w:r>
    </w:p>
    <w:p>
      <w:pPr>
        <w:pStyle w:val="70"/>
        <w:ind w:firstLine="560"/>
      </w:pPr>
      <w:r>
        <w:t>5、</w:t>
      </w:r>
      <w:r>
        <w:rPr>
          <w:rFonts w:hint="eastAsia"/>
        </w:rPr>
        <w:t>项目经理承诺函</w:t>
      </w:r>
    </w:p>
    <w:p>
      <w:pPr>
        <w:pStyle w:val="70"/>
        <w:ind w:firstLine="560"/>
      </w:pPr>
      <w:r>
        <w:t>6、项目管理机构组成表</w:t>
      </w:r>
    </w:p>
    <w:p>
      <w:pPr>
        <w:pStyle w:val="70"/>
        <w:ind w:firstLine="560"/>
      </w:pPr>
      <w:r>
        <w:t>7、</w:t>
      </w:r>
      <w:r>
        <w:rPr>
          <w:rFonts w:hint="eastAsia"/>
          <w:highlight w:val="none"/>
        </w:rPr>
        <w:t>投标人</w:t>
      </w:r>
      <w:r>
        <w:t>拟派主要人员</w:t>
      </w:r>
      <w:r>
        <w:rPr>
          <w:rFonts w:hint="eastAsia"/>
          <w:highlight w:val="none"/>
        </w:rPr>
        <w:t>及设备</w:t>
      </w:r>
      <w:r>
        <w:t>情况表</w:t>
      </w:r>
    </w:p>
    <w:p>
      <w:pPr>
        <w:pStyle w:val="70"/>
        <w:ind w:firstLine="560"/>
      </w:pPr>
      <w:r>
        <w:t>8、</w:t>
      </w:r>
      <w:r>
        <w:rPr>
          <w:rFonts w:hint="eastAsia"/>
          <w:highlight w:val="none"/>
        </w:rPr>
        <w:t>实施方案及总体计划</w:t>
      </w:r>
    </w:p>
    <w:p>
      <w:pPr>
        <w:pStyle w:val="70"/>
        <w:ind w:firstLine="560"/>
      </w:pPr>
      <w:r>
        <w:t>9、其他资料</w:t>
      </w:r>
    </w:p>
    <w:p>
      <w:pPr>
        <w:pStyle w:val="4"/>
        <w:ind w:firstLine="560"/>
      </w:pPr>
      <w:bookmarkStart w:id="114" w:name="_Toc317509399"/>
      <w:bookmarkStart w:id="115" w:name="_Toc183582218"/>
      <w:bookmarkStart w:id="116" w:name="_Toc217446049"/>
      <w:bookmarkStart w:id="117" w:name="_Toc325464830"/>
      <w:bookmarkStart w:id="118" w:name="_Toc183682355"/>
      <w:bookmarkStart w:id="119" w:name="_Toc325096481"/>
      <w:bookmarkStart w:id="120" w:name="_Toc317509246"/>
      <w:r>
        <w:t>14. 投标文件格式</w:t>
      </w:r>
      <w:bookmarkEnd w:id="114"/>
      <w:bookmarkEnd w:id="115"/>
      <w:bookmarkEnd w:id="116"/>
      <w:bookmarkEnd w:id="117"/>
      <w:bookmarkEnd w:id="118"/>
      <w:bookmarkEnd w:id="119"/>
      <w:bookmarkEnd w:id="120"/>
    </w:p>
    <w:p>
      <w:pPr>
        <w:pStyle w:val="70"/>
        <w:ind w:firstLine="560"/>
      </w:pPr>
      <w:bookmarkStart w:id="121" w:name="_Toc217446050"/>
      <w:bookmarkStart w:id="122" w:name="_Toc183582223"/>
      <w:bookmarkStart w:id="123" w:name="_Toc183682360"/>
      <w:r>
        <w:t>14.1投标人应严格按照招标文件第六章中提供的“投标文件格式”填写相关内容。除明确允许投标人可以自行编写的外，投标人不得以“投标文件格式”规定之外的方式填写相关内容。</w:t>
      </w:r>
    </w:p>
    <w:p>
      <w:pPr>
        <w:pStyle w:val="4"/>
        <w:ind w:firstLine="560"/>
      </w:pPr>
      <w:r>
        <w:t>15. 投标保证金</w:t>
      </w:r>
    </w:p>
    <w:p>
      <w:pPr>
        <w:pStyle w:val="70"/>
        <w:ind w:firstLine="560"/>
      </w:pPr>
      <w:r>
        <w:t>15.1 本项目不</w:t>
      </w:r>
      <w:r>
        <w:rPr>
          <w:rFonts w:hint="eastAsia"/>
        </w:rPr>
        <w:t>设置</w:t>
      </w:r>
      <w:r>
        <w:t>投标保证金。</w:t>
      </w:r>
    </w:p>
    <w:bookmarkEnd w:id="121"/>
    <w:bookmarkEnd w:id="122"/>
    <w:bookmarkEnd w:id="123"/>
    <w:p>
      <w:pPr>
        <w:pStyle w:val="4"/>
        <w:ind w:firstLine="560"/>
      </w:pPr>
      <w:bookmarkStart w:id="124" w:name="_Toc325096485"/>
      <w:bookmarkStart w:id="125" w:name="_Toc317509250"/>
      <w:bookmarkStart w:id="126" w:name="_Toc325464834"/>
      <w:bookmarkStart w:id="127" w:name="_Toc183682361"/>
      <w:bookmarkStart w:id="128" w:name="_Toc217446051"/>
      <w:bookmarkStart w:id="129" w:name="_Toc183582224"/>
      <w:bookmarkStart w:id="130" w:name="_Toc317509403"/>
      <w:r>
        <w:t>16. 投标有效期</w:t>
      </w:r>
      <w:bookmarkEnd w:id="124"/>
      <w:bookmarkEnd w:id="125"/>
      <w:bookmarkEnd w:id="126"/>
      <w:bookmarkEnd w:id="127"/>
      <w:bookmarkEnd w:id="128"/>
      <w:bookmarkEnd w:id="129"/>
      <w:bookmarkEnd w:id="130"/>
    </w:p>
    <w:p>
      <w:pPr>
        <w:pStyle w:val="70"/>
        <w:ind w:firstLine="560"/>
      </w:pPr>
      <w:r>
        <w:t>16.1 投标有效期见投标须知前附表。投标有效期短于此规定期限的投标申请，将被拒绝。</w:t>
      </w:r>
    </w:p>
    <w:p>
      <w:pPr>
        <w:pStyle w:val="70"/>
        <w:ind w:firstLine="560"/>
      </w:pPr>
      <w:r>
        <w:t>16.2 特殊情况下，招标人可于投标有效期满之前要求投标人同意延长有效期，要求与答复均应为书面形式。</w:t>
      </w:r>
    </w:p>
    <w:p>
      <w:pPr>
        <w:pStyle w:val="4"/>
        <w:ind w:firstLine="560"/>
      </w:pPr>
      <w:bookmarkStart w:id="131" w:name="_Toc217446052"/>
      <w:bookmarkStart w:id="132" w:name="_Toc317509251"/>
      <w:bookmarkStart w:id="133" w:name="_Toc183682362"/>
      <w:bookmarkStart w:id="134" w:name="_Toc325464835"/>
      <w:bookmarkStart w:id="135" w:name="_Toc325096486"/>
      <w:bookmarkStart w:id="136" w:name="_Toc183582225"/>
      <w:bookmarkStart w:id="137" w:name="_Toc317509404"/>
      <w:r>
        <w:t>17. 投标文件的印制和签署</w:t>
      </w:r>
      <w:bookmarkEnd w:id="131"/>
      <w:bookmarkEnd w:id="132"/>
      <w:bookmarkEnd w:id="133"/>
      <w:bookmarkEnd w:id="134"/>
      <w:bookmarkEnd w:id="135"/>
      <w:bookmarkEnd w:id="136"/>
      <w:bookmarkEnd w:id="137"/>
    </w:p>
    <w:p>
      <w:pPr>
        <w:pStyle w:val="70"/>
        <w:ind w:firstLine="560"/>
      </w:pPr>
      <w:r>
        <w:t>17.1 投标人应按“投标须知前附表”准备投标文件正本、副本。投标文件的正本和副本应在其封面右上角清楚地标明“正本”或“副本”字样。若正本和副本有不一致的内容，以正本书面投标文件为准。</w:t>
      </w:r>
    </w:p>
    <w:p>
      <w:pPr>
        <w:pStyle w:val="70"/>
        <w:ind w:firstLine="560"/>
      </w:pPr>
      <w:r>
        <w:t>17.2 投标文件的正本和副本均需打印或用不褪色、不变质的墨水书写，并由投标人的法定代表人或其授权代表在规定签章处签字和盖鲜章。</w:t>
      </w:r>
    </w:p>
    <w:p>
      <w:pPr>
        <w:pStyle w:val="70"/>
        <w:ind w:firstLine="560"/>
      </w:pPr>
      <w:r>
        <w:t>17.3 投标文件的打印和书写应清楚工整，任何行间插字、涂改或增删，必须由投标人的法定代表人或其授权代表签字或盖个人印鉴。字迹潦草、表达不清或可能导致非唯一理解的投标文件可能视为无效投标。</w:t>
      </w:r>
    </w:p>
    <w:p>
      <w:pPr>
        <w:pStyle w:val="70"/>
        <w:ind w:firstLine="560"/>
      </w:pPr>
      <w:r>
        <w:t>17.4 投标文件应根据招标文件的要求制作，签署、盖章和内容应完整。</w:t>
      </w:r>
    </w:p>
    <w:p>
      <w:pPr>
        <w:pStyle w:val="70"/>
        <w:ind w:firstLine="560"/>
      </w:pPr>
      <w:r>
        <w:t>17.5 投标文件统一用A4幅面纸印制。</w:t>
      </w:r>
    </w:p>
    <w:p>
      <w:pPr>
        <w:pStyle w:val="4"/>
        <w:ind w:firstLine="560"/>
      </w:pPr>
      <w:bookmarkStart w:id="138" w:name="_Toc89075877"/>
      <w:bookmarkStart w:id="139" w:name="_Toc77400781"/>
      <w:bookmarkStart w:id="140" w:name="_Toc183682363"/>
      <w:bookmarkStart w:id="141" w:name="_Toc183582226"/>
      <w:bookmarkStart w:id="142" w:name="_Toc317509405"/>
      <w:bookmarkStart w:id="143" w:name="_Toc325096487"/>
      <w:bookmarkStart w:id="144" w:name="_Toc217446053"/>
      <w:bookmarkStart w:id="145" w:name="_Toc317509252"/>
      <w:bookmarkStart w:id="146" w:name="_Toc325464836"/>
      <w:r>
        <w:t>18. 投标文件的密封和标</w:t>
      </w:r>
      <w:bookmarkEnd w:id="138"/>
      <w:bookmarkEnd w:id="139"/>
      <w:bookmarkEnd w:id="140"/>
      <w:bookmarkEnd w:id="141"/>
      <w:r>
        <w:t>注</w:t>
      </w:r>
      <w:bookmarkEnd w:id="142"/>
      <w:bookmarkEnd w:id="143"/>
      <w:bookmarkEnd w:id="144"/>
      <w:bookmarkEnd w:id="145"/>
      <w:bookmarkEnd w:id="146"/>
    </w:p>
    <w:p>
      <w:pPr>
        <w:pStyle w:val="70"/>
        <w:ind w:firstLine="560"/>
      </w:pPr>
      <w:r>
        <w:t>18.1 投标人应在投标文件正本和所有副本的封面上注明投标人名称、项目名称。</w:t>
      </w:r>
    </w:p>
    <w:p>
      <w:pPr>
        <w:pStyle w:val="70"/>
        <w:ind w:firstLine="560"/>
      </w:pPr>
      <w:r>
        <w:t>18.2 投标文件正本、所有副本应分别封装于密封袋内，密封袋上应分别标上“正本”、“副本”字样，并注明投标人名称、项目名称。</w:t>
      </w:r>
    </w:p>
    <w:p>
      <w:pPr>
        <w:pStyle w:val="70"/>
        <w:ind w:firstLine="560"/>
      </w:pPr>
      <w:r>
        <w:t>18.3 所有外层密封袋的封口处应粘贴牢固，密封袋上注明投标人名称、项目名称、及招标日期，并加盖密封章(投标人公章)。</w:t>
      </w:r>
    </w:p>
    <w:p>
      <w:pPr>
        <w:pStyle w:val="70"/>
        <w:ind w:firstLine="560"/>
      </w:pPr>
      <w:r>
        <w:t>18.4 未按以上要求进行密封和标注的投标文件将被拒绝。</w:t>
      </w:r>
    </w:p>
    <w:p>
      <w:pPr>
        <w:pStyle w:val="4"/>
        <w:ind w:firstLine="560"/>
      </w:pPr>
      <w:bookmarkStart w:id="147" w:name="_Toc317509253"/>
      <w:bookmarkStart w:id="148" w:name="_Toc325096488"/>
      <w:bookmarkStart w:id="149" w:name="_Toc325464837"/>
      <w:bookmarkStart w:id="150" w:name="_Toc317509406"/>
      <w:r>
        <w:t>19. 投标文件的递交</w:t>
      </w:r>
      <w:bookmarkEnd w:id="147"/>
      <w:bookmarkEnd w:id="148"/>
      <w:bookmarkEnd w:id="149"/>
      <w:bookmarkEnd w:id="150"/>
    </w:p>
    <w:p>
      <w:pPr>
        <w:pStyle w:val="70"/>
        <w:ind w:firstLine="560"/>
      </w:pPr>
      <w:r>
        <w:t>19.1 投标人应在招标文件规定的时间和地点递交投标文件；</w:t>
      </w:r>
    </w:p>
    <w:p>
      <w:pPr>
        <w:pStyle w:val="70"/>
        <w:ind w:firstLine="560"/>
      </w:pPr>
      <w:r>
        <w:t>19.2 本次招标接受邮寄的投标文件。</w:t>
      </w:r>
    </w:p>
    <w:p>
      <w:pPr>
        <w:pStyle w:val="4"/>
        <w:ind w:firstLine="560"/>
      </w:pPr>
      <w:bookmarkStart w:id="151" w:name="_Toc325096490"/>
      <w:bookmarkStart w:id="152" w:name="_Toc317509408"/>
      <w:bookmarkStart w:id="153" w:name="_Toc325464839"/>
      <w:bookmarkStart w:id="154" w:name="_Toc317509255"/>
      <w:bookmarkStart w:id="155" w:name="_Toc217446059"/>
      <w:r>
        <w:t>20.招标流程</w:t>
      </w:r>
      <w:bookmarkEnd w:id="151"/>
      <w:bookmarkEnd w:id="152"/>
      <w:bookmarkEnd w:id="153"/>
      <w:bookmarkEnd w:id="154"/>
    </w:p>
    <w:bookmarkEnd w:id="155"/>
    <w:p>
      <w:pPr>
        <w:pStyle w:val="70"/>
        <w:ind w:firstLine="560"/>
      </w:pPr>
      <w:bookmarkStart w:id="156" w:name="_Toc217446060"/>
      <w:r>
        <w:t>20.1 招标按招标文件规定的时间和地点进行。</w:t>
      </w:r>
    </w:p>
    <w:p>
      <w:pPr>
        <w:pStyle w:val="70"/>
        <w:ind w:firstLine="560"/>
      </w:pPr>
      <w:r>
        <w:t>20.2 评审委员会对投标人提交的投标文件进行符合性评审、资格审查；</w:t>
      </w:r>
    </w:p>
    <w:p>
      <w:pPr>
        <w:pStyle w:val="70"/>
        <w:ind w:firstLine="560"/>
      </w:pPr>
      <w:r>
        <w:t>20.3 评审委员会按照投标人中报价最低的原则或综合得分最高的原则，推荐中标候选人。</w:t>
      </w:r>
    </w:p>
    <w:p>
      <w:pPr>
        <w:pStyle w:val="70"/>
        <w:ind w:firstLine="560"/>
      </w:pPr>
      <w:r>
        <w:t>20.4 招标人按照评审委员会推荐中标候选人的顺序确定中标人。</w:t>
      </w:r>
    </w:p>
    <w:p>
      <w:pPr>
        <w:pStyle w:val="4"/>
        <w:ind w:firstLine="560"/>
      </w:pPr>
      <w:r>
        <w:t>21.投标文件的修改</w:t>
      </w:r>
    </w:p>
    <w:p>
      <w:pPr>
        <w:tabs>
          <w:tab w:val="left" w:pos="7665"/>
        </w:tabs>
        <w:snapToGrid w:val="0"/>
        <w:spacing w:before="0" w:after="0" w:line="360" w:lineRule="auto"/>
        <w:ind w:firstLine="560" w:firstLineChars="200"/>
        <w:rPr>
          <w:rFonts w:ascii="Times New Roman" w:hAnsi="Times New Roman" w:eastAsia="宋体"/>
          <w:sz w:val="28"/>
          <w:szCs w:val="28"/>
        </w:rPr>
      </w:pPr>
      <w:r>
        <w:rPr>
          <w:rStyle w:val="100"/>
        </w:rPr>
        <w:t>21.1 投标人在招标过程中所签署的书面的澄清或者说明、经投标人确认的修正后报价均为投标文件的组成部分</w:t>
      </w:r>
      <w:r>
        <w:rPr>
          <w:rFonts w:ascii="Times New Roman" w:hAnsi="Times New Roman" w:eastAsia="宋体"/>
          <w:sz w:val="28"/>
          <w:szCs w:val="28"/>
        </w:rPr>
        <w:t>。</w:t>
      </w:r>
    </w:p>
    <w:bookmarkEnd w:id="156"/>
    <w:p>
      <w:pPr>
        <w:pStyle w:val="4"/>
        <w:ind w:firstLine="560"/>
      </w:pPr>
      <w:bookmarkStart w:id="157" w:name="_Toc217446061"/>
      <w:bookmarkStart w:id="158" w:name="_Toc317509410"/>
      <w:bookmarkStart w:id="159" w:name="_Toc317509257"/>
      <w:bookmarkStart w:id="160" w:name="_Toc325096492"/>
      <w:bookmarkStart w:id="161" w:name="_Toc325464841"/>
      <w:r>
        <w:t>22. 定标原则</w:t>
      </w:r>
      <w:bookmarkEnd w:id="157"/>
      <w:bookmarkEnd w:id="158"/>
      <w:bookmarkEnd w:id="159"/>
      <w:bookmarkEnd w:id="160"/>
      <w:bookmarkEnd w:id="161"/>
    </w:p>
    <w:p>
      <w:pPr>
        <w:pStyle w:val="70"/>
        <w:ind w:firstLine="560"/>
      </w:pPr>
      <w:r>
        <w:t>根据评审委员会推荐的中标候选人名单，按顺序确定中标人。</w:t>
      </w:r>
    </w:p>
    <w:p>
      <w:pPr>
        <w:pStyle w:val="4"/>
        <w:ind w:firstLine="560"/>
      </w:pPr>
      <w:bookmarkStart w:id="162" w:name="_Toc217446062"/>
      <w:bookmarkStart w:id="163" w:name="_Toc317509258"/>
      <w:bookmarkStart w:id="164" w:name="_Toc325464842"/>
      <w:bookmarkStart w:id="165" w:name="_Toc317509411"/>
      <w:bookmarkStart w:id="166" w:name="_Toc325096493"/>
      <w:r>
        <w:t>23. 定标程序</w:t>
      </w:r>
      <w:bookmarkEnd w:id="162"/>
      <w:bookmarkEnd w:id="163"/>
      <w:bookmarkEnd w:id="164"/>
      <w:bookmarkEnd w:id="165"/>
      <w:bookmarkEnd w:id="166"/>
    </w:p>
    <w:p>
      <w:pPr>
        <w:pStyle w:val="70"/>
        <w:ind w:firstLine="560"/>
      </w:pPr>
      <w:r>
        <w:t>23.1 评审委员会将评审情况写出书面报告，推荐中标候选人，并标明排列顺序。</w:t>
      </w:r>
    </w:p>
    <w:p>
      <w:pPr>
        <w:pStyle w:val="70"/>
        <w:ind w:firstLine="560"/>
      </w:pPr>
      <w:r>
        <w:t>23.2 招标人在收到评标报告后五个工作日内，按照评标报告中推荐的中标候选人顺序依据第三章评标办法再确定最终实际中标人。</w:t>
      </w:r>
    </w:p>
    <w:p>
      <w:pPr>
        <w:pStyle w:val="70"/>
        <w:ind w:firstLine="560"/>
      </w:pPr>
      <w:r>
        <w:t>23.3招标人将中标结果通知参加投标的所有投标人。招标人不解释中标或落选原因，不退回投标文件和其他投标申请资料。</w:t>
      </w:r>
    </w:p>
    <w:p>
      <w:pPr>
        <w:pStyle w:val="4"/>
        <w:ind w:firstLine="560"/>
      </w:pPr>
      <w:bookmarkStart w:id="167" w:name="_Toc183682375"/>
      <w:bookmarkStart w:id="168" w:name="_Toc183582238"/>
      <w:bookmarkStart w:id="169" w:name="_Toc217446063"/>
      <w:bookmarkStart w:id="170" w:name="_Toc325096494"/>
      <w:bookmarkStart w:id="171" w:name="_Toc325464843"/>
      <w:bookmarkStart w:id="172" w:name="_Toc317509259"/>
      <w:bookmarkStart w:id="173" w:name="_Toc317509412"/>
      <w:r>
        <w:t>24. 中标通知</w:t>
      </w:r>
      <w:bookmarkEnd w:id="167"/>
      <w:bookmarkEnd w:id="168"/>
      <w:r>
        <w:t>书</w:t>
      </w:r>
      <w:bookmarkEnd w:id="169"/>
      <w:bookmarkEnd w:id="170"/>
      <w:bookmarkEnd w:id="171"/>
      <w:bookmarkEnd w:id="172"/>
      <w:bookmarkEnd w:id="173"/>
    </w:p>
    <w:p>
      <w:pPr>
        <w:pStyle w:val="70"/>
        <w:ind w:firstLine="560"/>
      </w:pPr>
      <w:r>
        <w:t>24.1 中标通知书为签订合同的依据，是合同的有效组成部分。</w:t>
      </w:r>
    </w:p>
    <w:p>
      <w:pPr>
        <w:pStyle w:val="70"/>
        <w:ind w:firstLine="560"/>
      </w:pPr>
      <w:r>
        <w:t>24.2 中标通知书对招标人和中标人均具有法律效力。中标通知书发出后，招标人改变中标结果，或者中标人无正当理由放弃中标的，应当承担相应的法律责任。</w:t>
      </w:r>
    </w:p>
    <w:p>
      <w:pPr>
        <w:pStyle w:val="70"/>
        <w:ind w:firstLine="560"/>
      </w:pPr>
      <w:r>
        <w:t>24.3中标人的投标文件本应作为无效招标处理或者有法律法规规章制度规定的中标无效情形的，招标人在取得有权主体的认定以后，应当宣布发出的中标通知书无效，并收回发出的中标通知书(中标人也应当缴回)，依法重新确定中标人或者重新开展招标活动。</w:t>
      </w:r>
    </w:p>
    <w:p>
      <w:pPr>
        <w:pStyle w:val="4"/>
        <w:ind w:firstLine="560"/>
      </w:pPr>
      <w:bookmarkStart w:id="174" w:name="_Toc217446065"/>
      <w:bookmarkStart w:id="175" w:name="_Toc317509414"/>
      <w:bookmarkStart w:id="176" w:name="_Toc325464845"/>
      <w:bookmarkStart w:id="177" w:name="_Toc317509261"/>
      <w:bookmarkStart w:id="178" w:name="_Toc325096496"/>
      <w:bookmarkStart w:id="179" w:name="_Toc183582240"/>
      <w:bookmarkStart w:id="180" w:name="_Toc183682377"/>
      <w:r>
        <w:t>25. 签订合同</w:t>
      </w:r>
      <w:bookmarkEnd w:id="174"/>
      <w:bookmarkEnd w:id="175"/>
      <w:bookmarkEnd w:id="176"/>
      <w:bookmarkEnd w:id="177"/>
      <w:bookmarkEnd w:id="178"/>
    </w:p>
    <w:p>
      <w:pPr>
        <w:pStyle w:val="70"/>
        <w:ind w:firstLine="560"/>
      </w:pPr>
      <w:r>
        <w:t>25.1 中标人在收到招标人发出的中标通知书后，应自中标通知书发出之日起30日内与招标人签订合同。由于中标人的原因逾期未与招标人签订合同的，将视为放弃中标，取消其中标资格并将按相关规定进行处理。</w:t>
      </w:r>
    </w:p>
    <w:p>
      <w:pPr>
        <w:pStyle w:val="70"/>
        <w:ind w:firstLine="560"/>
      </w:pPr>
      <w:r>
        <w:t>25.2 招标人不得向中标人提出任何不合理的要求，作为签订合同的条件，不得与中标人私下订立背离合同实质性内容的任何协议，所签订的合同不得对招标文件和中标人投标文件作实质性修改。</w:t>
      </w:r>
    </w:p>
    <w:p>
      <w:pPr>
        <w:pStyle w:val="70"/>
        <w:ind w:firstLine="560"/>
      </w:pPr>
      <w:r>
        <w:t>25.3 中标人因不可抗力原因不能履行合同或放弃中标的，招标人可以与排在中标人之后第一位的中标候选人签订合同，以此类推。</w:t>
      </w:r>
    </w:p>
    <w:p>
      <w:pPr>
        <w:pStyle w:val="4"/>
        <w:ind w:firstLine="560"/>
      </w:pPr>
      <w:bookmarkStart w:id="181" w:name="_Toc317509417"/>
      <w:bookmarkStart w:id="182" w:name="_Toc325096498"/>
      <w:bookmarkStart w:id="183" w:name="_Toc217446069"/>
      <w:bookmarkStart w:id="184" w:name="_Toc325464847"/>
      <w:bookmarkStart w:id="185" w:name="_Toc317509264"/>
      <w:r>
        <w:t>26. 履行合同</w:t>
      </w:r>
      <w:bookmarkEnd w:id="181"/>
      <w:bookmarkEnd w:id="182"/>
      <w:bookmarkEnd w:id="183"/>
      <w:bookmarkEnd w:id="184"/>
      <w:bookmarkEnd w:id="185"/>
    </w:p>
    <w:p>
      <w:pPr>
        <w:pStyle w:val="70"/>
        <w:ind w:firstLine="560"/>
      </w:pPr>
      <w:r>
        <w:t>26.1 中标人与招标人签订合同后，合同双方应严格执行合同条款，履行合同规定的义务，保证合同的顺利完成。</w:t>
      </w:r>
    </w:p>
    <w:p>
      <w:pPr>
        <w:pStyle w:val="70"/>
        <w:ind w:firstLine="560"/>
      </w:pPr>
      <w:r>
        <w:t>26.2 在合同履行过程中，如发生合同纠纷，合同双方应按照《合同法》的有关规定进行处理。</w:t>
      </w:r>
    </w:p>
    <w:bookmarkEnd w:id="179"/>
    <w:bookmarkEnd w:id="180"/>
    <w:p>
      <w:pPr>
        <w:pStyle w:val="4"/>
        <w:ind w:firstLine="560"/>
      </w:pPr>
      <w:bookmarkStart w:id="186" w:name="_Toc325096501"/>
      <w:bookmarkStart w:id="187" w:name="_Toc217446072"/>
      <w:bookmarkStart w:id="188" w:name="_Toc317509267"/>
      <w:bookmarkStart w:id="189" w:name="_Toc317509420"/>
      <w:bookmarkStart w:id="190" w:name="_Toc325464850"/>
      <w:bookmarkStart w:id="191" w:name="_Toc183582243"/>
      <w:bookmarkStart w:id="192" w:name="_Toc183682380"/>
      <w:r>
        <w:t>27. 废标的情形</w:t>
      </w:r>
      <w:bookmarkEnd w:id="186"/>
      <w:bookmarkEnd w:id="187"/>
      <w:bookmarkEnd w:id="188"/>
      <w:bookmarkEnd w:id="189"/>
      <w:bookmarkEnd w:id="190"/>
    </w:p>
    <w:p>
      <w:pPr>
        <w:pStyle w:val="70"/>
        <w:ind w:firstLine="560"/>
      </w:pPr>
      <w:r>
        <w:t>招标中，出现下列情形之一的，予以废标：</w:t>
      </w:r>
    </w:p>
    <w:p>
      <w:pPr>
        <w:pStyle w:val="70"/>
        <w:ind w:firstLine="560"/>
      </w:pPr>
      <w:r>
        <w:t>（1）出现影响招标公正的违法、违规行为的；</w:t>
      </w:r>
    </w:p>
    <w:p>
      <w:pPr>
        <w:pStyle w:val="70"/>
        <w:ind w:firstLine="560"/>
      </w:pPr>
      <w:r>
        <w:t>（2）投标人的报价均超过了招标预算，招标人不能支付的；</w:t>
      </w:r>
    </w:p>
    <w:p>
      <w:pPr>
        <w:pStyle w:val="70"/>
        <w:ind w:firstLine="560"/>
      </w:pPr>
      <w:r>
        <w:t>（3）因重大变故，招标任务取消的；</w:t>
      </w:r>
    </w:p>
    <w:p>
      <w:pPr>
        <w:pStyle w:val="70"/>
        <w:ind w:firstLine="560"/>
      </w:pPr>
      <w:r>
        <w:t>（4）其他未实质性响应招标文件的。</w:t>
      </w:r>
    </w:p>
    <w:p>
      <w:pPr>
        <w:pStyle w:val="4"/>
        <w:ind w:firstLine="560"/>
      </w:pPr>
      <w:bookmarkStart w:id="193" w:name="_Toc317509269"/>
      <w:bookmarkStart w:id="194" w:name="_Toc325096503"/>
      <w:bookmarkStart w:id="195" w:name="_Toc317509422"/>
      <w:bookmarkStart w:id="196" w:name="_Toc217446075"/>
      <w:bookmarkStart w:id="197" w:name="_Toc325464852"/>
      <w:r>
        <w:t>28. 投标人不得具有的情形</w:t>
      </w:r>
      <w:bookmarkEnd w:id="193"/>
      <w:bookmarkEnd w:id="194"/>
      <w:bookmarkEnd w:id="195"/>
      <w:bookmarkEnd w:id="196"/>
      <w:bookmarkEnd w:id="197"/>
    </w:p>
    <w:p>
      <w:pPr>
        <w:pStyle w:val="70"/>
        <w:ind w:firstLine="560"/>
      </w:pPr>
      <w:r>
        <w:t>投标人参加招标不得有下列情形：</w:t>
      </w:r>
    </w:p>
    <w:p>
      <w:pPr>
        <w:pStyle w:val="70"/>
        <w:ind w:firstLine="560"/>
      </w:pPr>
      <w:r>
        <w:t>（1）提供虚假材料谋取中标；</w:t>
      </w:r>
    </w:p>
    <w:p>
      <w:pPr>
        <w:pStyle w:val="70"/>
        <w:ind w:firstLine="560"/>
      </w:pPr>
      <w:r>
        <w:t>（2）采取不正当手段诋毁、排挤其他投标人；</w:t>
      </w:r>
    </w:p>
    <w:p>
      <w:pPr>
        <w:pStyle w:val="70"/>
        <w:ind w:firstLine="560"/>
      </w:pPr>
      <w:r>
        <w:t>（3）与招标人、其他投标人恶意串通；</w:t>
      </w:r>
    </w:p>
    <w:p>
      <w:pPr>
        <w:pStyle w:val="70"/>
        <w:ind w:firstLine="560"/>
      </w:pPr>
      <w:r>
        <w:t>（4）向招标人、评审委员会成员行贿或者提供其他不正当利益；</w:t>
      </w:r>
    </w:p>
    <w:p>
      <w:pPr>
        <w:pStyle w:val="70"/>
        <w:ind w:firstLine="560"/>
      </w:pPr>
      <w:r>
        <w:t>（5）拒绝有关部门的监督检查或者向监督检查部门提供虚假情况。</w:t>
      </w:r>
    </w:p>
    <w:p>
      <w:pPr>
        <w:pStyle w:val="70"/>
        <w:ind w:firstLine="560"/>
      </w:pPr>
      <w:r>
        <w:t>有上述情形之一的投标人，属于不合格投标人，其投标人资格或中标资格将被取消。</w:t>
      </w:r>
      <w:bookmarkEnd w:id="191"/>
      <w:bookmarkEnd w:id="192"/>
    </w:p>
    <w:p>
      <w:pPr>
        <w:pStyle w:val="2"/>
      </w:pPr>
      <w:r>
        <w:rPr>
          <w:sz w:val="24"/>
          <w:szCs w:val="24"/>
        </w:rPr>
        <w:br w:type="page"/>
      </w:r>
      <w:bookmarkEnd w:id="31"/>
      <w:bookmarkStart w:id="198" w:name="_Toc11711"/>
      <w:bookmarkStart w:id="199" w:name="_Toc31885"/>
      <w:bookmarkStart w:id="200" w:name="_Toc32038"/>
      <w:bookmarkStart w:id="201" w:name="_Toc45613984"/>
      <w:bookmarkStart w:id="202" w:name="_Toc317187175"/>
      <w:bookmarkStart w:id="203" w:name="_Toc337822911"/>
      <w:bookmarkStart w:id="204" w:name="_Toc317186812"/>
      <w:bookmarkStart w:id="205" w:name="_Toc317191317"/>
      <w:bookmarkStart w:id="206" w:name="_Toc317187339"/>
      <w:bookmarkStart w:id="207" w:name="_Toc317187374"/>
      <w:bookmarkStart w:id="208" w:name="_Toc337823059"/>
      <w:bookmarkStart w:id="209" w:name="_Toc29113"/>
      <w:bookmarkStart w:id="210" w:name="_Toc317186947"/>
      <w:bookmarkStart w:id="211" w:name="_Toc317186898"/>
      <w:bookmarkStart w:id="212" w:name="_Toc317187056"/>
      <w:bookmarkStart w:id="213" w:name="_Toc30251"/>
      <w:r>
        <w:rPr>
          <w:rFonts w:hint="eastAsia"/>
        </w:rPr>
        <w:t>第三章  评标办法</w:t>
      </w:r>
      <w:bookmarkEnd w:id="198"/>
      <w:bookmarkEnd w:id="199"/>
      <w:bookmarkEnd w:id="200"/>
      <w:bookmarkEnd w:id="201"/>
    </w:p>
    <w:p>
      <w:pPr>
        <w:pStyle w:val="5"/>
        <w:jc w:val="center"/>
      </w:pPr>
      <w:bookmarkStart w:id="214" w:name="_Toc521"/>
      <w:bookmarkStart w:id="215" w:name="_Toc29200944"/>
      <w:r>
        <w:rPr>
          <w:rFonts w:hint="eastAsia"/>
        </w:rPr>
        <w:t>评标办法前附表</w:t>
      </w:r>
      <w:bookmarkEnd w:id="214"/>
      <w:bookmarkEnd w:id="215"/>
    </w:p>
    <w:tbl>
      <w:tblPr>
        <w:tblStyle w:val="34"/>
        <w:tblW w:w="903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6"/>
        <w:gridCol w:w="1080"/>
        <w:gridCol w:w="1918"/>
        <w:gridCol w:w="5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vAlign w:val="center"/>
          </w:tcPr>
          <w:p>
            <w:pPr>
              <w:pStyle w:val="36"/>
              <w:jc w:val="center"/>
              <w:rPr>
                <w:b/>
                <w:bCs/>
              </w:rPr>
            </w:pPr>
            <w:r>
              <w:rPr>
                <w:rFonts w:hint="eastAsia"/>
                <w:b/>
                <w:bCs/>
              </w:rPr>
              <w:t>条款号</w:t>
            </w:r>
          </w:p>
        </w:tc>
        <w:tc>
          <w:tcPr>
            <w:tcW w:w="1918" w:type="dxa"/>
            <w:vAlign w:val="center"/>
          </w:tcPr>
          <w:p>
            <w:pPr>
              <w:pStyle w:val="36"/>
              <w:jc w:val="center"/>
              <w:rPr>
                <w:b/>
                <w:bCs/>
              </w:rPr>
            </w:pPr>
            <w:r>
              <w:rPr>
                <w:rFonts w:hint="eastAsia" w:cs="微软雅黑"/>
                <w:b/>
                <w:bCs/>
              </w:rPr>
              <w:t>评审</w:t>
            </w:r>
            <w:r>
              <w:rPr>
                <w:rFonts w:hint="eastAsia"/>
                <w:b/>
                <w:bCs/>
              </w:rPr>
              <w:t>因素</w:t>
            </w:r>
          </w:p>
        </w:tc>
        <w:tc>
          <w:tcPr>
            <w:tcW w:w="5173" w:type="dxa"/>
            <w:vAlign w:val="center"/>
          </w:tcPr>
          <w:p>
            <w:pPr>
              <w:pStyle w:val="36"/>
              <w:jc w:val="center"/>
              <w:rPr>
                <w:b/>
                <w:bCs/>
              </w:rPr>
            </w:pPr>
            <w:r>
              <w:rPr>
                <w:rFonts w:hint="eastAsia" w:cs="微软雅黑"/>
                <w:b/>
                <w:bCs/>
              </w:rPr>
              <w:t>评审标</w:t>
            </w:r>
            <w:r>
              <w:rPr>
                <w:rFonts w:hint="eastAsia"/>
                <w:b/>
                <w:bCs/>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66" w:type="dxa"/>
            <w:vAlign w:val="center"/>
          </w:tcPr>
          <w:p>
            <w:pPr>
              <w:pStyle w:val="36"/>
              <w:jc w:val="center"/>
            </w:pPr>
            <w:r>
              <w:t>1</w:t>
            </w:r>
          </w:p>
        </w:tc>
        <w:tc>
          <w:tcPr>
            <w:tcW w:w="1080" w:type="dxa"/>
            <w:vAlign w:val="center"/>
          </w:tcPr>
          <w:p>
            <w:pPr>
              <w:pStyle w:val="36"/>
              <w:jc w:val="center"/>
            </w:pPr>
            <w:r>
              <w:rPr>
                <w:rFonts w:hint="eastAsia" w:cs="微软雅黑"/>
              </w:rPr>
              <w:t>评标</w:t>
            </w:r>
            <w:r>
              <w:rPr>
                <w:rFonts w:hint="eastAsia"/>
                <w:spacing w:val="-3"/>
              </w:rPr>
              <w:t>方</w:t>
            </w:r>
            <w:r>
              <w:rPr>
                <w:rFonts w:hint="eastAsia"/>
              </w:rPr>
              <w:t>法</w:t>
            </w:r>
          </w:p>
        </w:tc>
        <w:tc>
          <w:tcPr>
            <w:tcW w:w="1918" w:type="dxa"/>
            <w:vAlign w:val="center"/>
          </w:tcPr>
          <w:p>
            <w:pPr>
              <w:pStyle w:val="36"/>
            </w:pPr>
            <w:r>
              <w:rPr>
                <w:rFonts w:hint="eastAsia"/>
              </w:rPr>
              <w:t>中</w:t>
            </w:r>
            <w:r>
              <w:rPr>
                <w:rFonts w:hint="eastAsia" w:cs="微软雅黑"/>
              </w:rPr>
              <w:t>标</w:t>
            </w:r>
            <w:r>
              <w:rPr>
                <w:rFonts w:hint="eastAsia"/>
                <w:spacing w:val="-3"/>
              </w:rPr>
              <w:t>候</w:t>
            </w:r>
            <w:r>
              <w:rPr>
                <w:rFonts w:hint="eastAsia" w:cs="微软雅黑"/>
              </w:rPr>
              <w:t>选</w:t>
            </w:r>
            <w:r>
              <w:rPr>
                <w:rFonts w:hint="eastAsia"/>
                <w:spacing w:val="-3"/>
              </w:rPr>
              <w:t>人</w:t>
            </w:r>
            <w:r>
              <w:rPr>
                <w:rFonts w:hint="eastAsia"/>
              </w:rPr>
              <w:t>排</w:t>
            </w:r>
            <w:r>
              <w:rPr>
                <w:rFonts w:hint="eastAsia"/>
                <w:spacing w:val="-3"/>
              </w:rPr>
              <w:t>序</w:t>
            </w:r>
            <w:r>
              <w:rPr>
                <w:rFonts w:hint="eastAsia"/>
              </w:rPr>
              <w:t>方法</w:t>
            </w:r>
          </w:p>
        </w:tc>
        <w:tc>
          <w:tcPr>
            <w:tcW w:w="5173" w:type="dxa"/>
            <w:vAlign w:val="center"/>
          </w:tcPr>
          <w:p>
            <w:pPr>
              <w:pStyle w:val="36"/>
            </w:pPr>
            <w:r>
              <w:rPr>
                <w:rFonts w:hint="eastAsia"/>
              </w:rPr>
              <w:t>综合评分相等时，以投标报价低的优先；投标报价也相等的，以技术得分高的优先。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66" w:type="dxa"/>
            <w:vMerge w:val="restart"/>
            <w:vAlign w:val="center"/>
          </w:tcPr>
          <w:p>
            <w:pPr>
              <w:pStyle w:val="36"/>
              <w:jc w:val="center"/>
            </w:pPr>
            <w:r>
              <w:rPr>
                <w:rFonts w:hint="eastAsia"/>
              </w:rPr>
              <w:t>1</w:t>
            </w:r>
            <w:r>
              <w:t>.1.1</w:t>
            </w:r>
          </w:p>
        </w:tc>
        <w:tc>
          <w:tcPr>
            <w:tcW w:w="1080" w:type="dxa"/>
            <w:vMerge w:val="restart"/>
            <w:vAlign w:val="center"/>
          </w:tcPr>
          <w:p>
            <w:pPr>
              <w:pStyle w:val="36"/>
              <w:jc w:val="center"/>
            </w:pPr>
            <w:r>
              <w:rPr>
                <w:rFonts w:hint="eastAsia"/>
              </w:rPr>
              <w:t>形式</w:t>
            </w:r>
            <w:r>
              <w:rPr>
                <w:rFonts w:hint="eastAsia" w:cs="微软雅黑"/>
                <w:spacing w:val="-3"/>
              </w:rPr>
              <w:t>评</w:t>
            </w:r>
            <w:r>
              <w:rPr>
                <w:rFonts w:hint="eastAsia" w:cs="微软雅黑"/>
              </w:rPr>
              <w:t>审标</w:t>
            </w:r>
            <w:r>
              <w:rPr>
                <w:rFonts w:hint="eastAsia"/>
              </w:rPr>
              <w:t>准</w:t>
            </w:r>
          </w:p>
        </w:tc>
        <w:tc>
          <w:tcPr>
            <w:tcW w:w="1918" w:type="dxa"/>
            <w:vAlign w:val="center"/>
          </w:tcPr>
          <w:p>
            <w:pPr>
              <w:pStyle w:val="36"/>
            </w:pPr>
            <w:r>
              <w:rPr>
                <w:rFonts w:hint="eastAsia"/>
              </w:rPr>
              <w:t>投</w:t>
            </w:r>
            <w:r>
              <w:rPr>
                <w:rFonts w:hint="eastAsia" w:cs="微软雅黑"/>
              </w:rPr>
              <w:t>标</w:t>
            </w:r>
            <w:r>
              <w:rPr>
                <w:rFonts w:hint="eastAsia"/>
                <w:spacing w:val="-3"/>
              </w:rPr>
              <w:t>人</w:t>
            </w:r>
            <w:r>
              <w:rPr>
                <w:rFonts w:hint="eastAsia"/>
              </w:rPr>
              <w:t>名称</w:t>
            </w:r>
          </w:p>
        </w:tc>
        <w:tc>
          <w:tcPr>
            <w:tcW w:w="5173" w:type="dxa"/>
            <w:vAlign w:val="center"/>
          </w:tcPr>
          <w:p>
            <w:pPr>
              <w:pStyle w:val="36"/>
            </w:pPr>
            <w:r>
              <w:rPr>
                <w:rFonts w:hint="eastAsia"/>
              </w:rPr>
              <w:t>与营业执照或事业单位法人证书、资质证书一致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66" w:type="dxa"/>
            <w:vMerge w:val="continue"/>
            <w:vAlign w:val="center"/>
          </w:tcPr>
          <w:p>
            <w:pPr>
              <w:pStyle w:val="36"/>
              <w:jc w:val="center"/>
            </w:pPr>
          </w:p>
        </w:tc>
        <w:tc>
          <w:tcPr>
            <w:tcW w:w="1080" w:type="dxa"/>
            <w:vMerge w:val="continue"/>
            <w:vAlign w:val="center"/>
          </w:tcPr>
          <w:p>
            <w:pPr>
              <w:pStyle w:val="36"/>
              <w:jc w:val="center"/>
            </w:pPr>
          </w:p>
        </w:tc>
        <w:tc>
          <w:tcPr>
            <w:tcW w:w="1918" w:type="dxa"/>
            <w:vAlign w:val="center"/>
          </w:tcPr>
          <w:p>
            <w:pPr>
              <w:pStyle w:val="36"/>
            </w:pPr>
            <w:r>
              <w:rPr>
                <w:rFonts w:hint="eastAsia" w:cs="微软雅黑"/>
              </w:rPr>
              <w:t>签</w:t>
            </w:r>
            <w:r>
              <w:rPr>
                <w:rFonts w:hint="eastAsia"/>
              </w:rPr>
              <w:t>字盖章</w:t>
            </w:r>
          </w:p>
        </w:tc>
        <w:tc>
          <w:tcPr>
            <w:tcW w:w="5173" w:type="dxa"/>
            <w:vAlign w:val="center"/>
          </w:tcPr>
          <w:p>
            <w:pPr>
              <w:pStyle w:val="36"/>
            </w:pPr>
            <w:r>
              <w:rPr>
                <w:rFonts w:hint="eastAsia"/>
              </w:rPr>
              <w:t>投标文件按照招标文件要求经投标单位盖章和单位负责人签字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66" w:type="dxa"/>
            <w:vMerge w:val="continue"/>
            <w:vAlign w:val="center"/>
          </w:tcPr>
          <w:p>
            <w:pPr>
              <w:pStyle w:val="36"/>
              <w:jc w:val="center"/>
            </w:pPr>
          </w:p>
        </w:tc>
        <w:tc>
          <w:tcPr>
            <w:tcW w:w="1080" w:type="dxa"/>
            <w:vMerge w:val="continue"/>
            <w:vAlign w:val="center"/>
          </w:tcPr>
          <w:p>
            <w:pPr>
              <w:pStyle w:val="36"/>
              <w:jc w:val="center"/>
            </w:pPr>
          </w:p>
        </w:tc>
        <w:tc>
          <w:tcPr>
            <w:tcW w:w="1918" w:type="dxa"/>
            <w:vAlign w:val="center"/>
          </w:tcPr>
          <w:p>
            <w:pPr>
              <w:pStyle w:val="36"/>
            </w:pPr>
            <w:r>
              <w:rPr>
                <w:rFonts w:hint="eastAsia"/>
              </w:rPr>
              <w:t>投</w:t>
            </w:r>
            <w:r>
              <w:rPr>
                <w:rFonts w:hint="eastAsia" w:cs="微软雅黑"/>
              </w:rPr>
              <w:t>标</w:t>
            </w:r>
            <w:r>
              <w:rPr>
                <w:rFonts w:hint="eastAsia"/>
                <w:spacing w:val="-3"/>
              </w:rPr>
              <w:t>文</w:t>
            </w:r>
            <w:r>
              <w:rPr>
                <w:rFonts w:hint="eastAsia"/>
              </w:rPr>
              <w:t>件</w:t>
            </w:r>
            <w:r>
              <w:rPr>
                <w:rFonts w:hint="eastAsia"/>
                <w:spacing w:val="-3"/>
              </w:rPr>
              <w:t>格</w:t>
            </w:r>
            <w:r>
              <w:rPr>
                <w:rFonts w:hint="eastAsia"/>
              </w:rPr>
              <w:t>式</w:t>
            </w:r>
          </w:p>
        </w:tc>
        <w:tc>
          <w:tcPr>
            <w:tcW w:w="5173" w:type="dxa"/>
            <w:vAlign w:val="center"/>
          </w:tcPr>
          <w:p>
            <w:pPr>
              <w:pStyle w:val="36"/>
            </w:pPr>
            <w:r>
              <w:t>符合</w:t>
            </w:r>
            <w:r>
              <w:rPr>
                <w:rFonts w:hint="eastAsia"/>
              </w:rPr>
              <w:t>招标文件</w:t>
            </w:r>
            <w:r>
              <w:t>“投标文件格式”的要求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66" w:type="dxa"/>
            <w:vMerge w:val="continue"/>
            <w:vAlign w:val="center"/>
          </w:tcPr>
          <w:p>
            <w:pPr>
              <w:pStyle w:val="36"/>
              <w:jc w:val="center"/>
            </w:pPr>
          </w:p>
        </w:tc>
        <w:tc>
          <w:tcPr>
            <w:tcW w:w="1080" w:type="dxa"/>
            <w:vMerge w:val="continue"/>
            <w:vAlign w:val="center"/>
          </w:tcPr>
          <w:p>
            <w:pPr>
              <w:pStyle w:val="36"/>
              <w:jc w:val="center"/>
            </w:pPr>
          </w:p>
        </w:tc>
        <w:tc>
          <w:tcPr>
            <w:tcW w:w="1918" w:type="dxa"/>
            <w:vAlign w:val="center"/>
          </w:tcPr>
          <w:p>
            <w:pPr>
              <w:pStyle w:val="36"/>
            </w:pPr>
            <w:r>
              <w:rPr>
                <w:rFonts w:hint="eastAsia"/>
              </w:rPr>
              <w:t>投标报价</w:t>
            </w:r>
          </w:p>
        </w:tc>
        <w:tc>
          <w:tcPr>
            <w:tcW w:w="5173" w:type="dxa"/>
            <w:vAlign w:val="center"/>
          </w:tcPr>
          <w:p>
            <w:pPr>
              <w:pStyle w:val="36"/>
            </w:pPr>
            <w:r>
              <w:rPr>
                <w:rFonts w:hint="eastAsia"/>
              </w:rPr>
              <w:t>同一投标人未提交两个以上不同的投标文件或者投标报价，但招标文件要求提交备选投标的除外。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66" w:type="dxa"/>
            <w:vMerge w:val="continue"/>
            <w:vAlign w:val="center"/>
          </w:tcPr>
          <w:p>
            <w:pPr>
              <w:pStyle w:val="36"/>
              <w:jc w:val="center"/>
            </w:pPr>
          </w:p>
        </w:tc>
        <w:tc>
          <w:tcPr>
            <w:tcW w:w="1080" w:type="dxa"/>
            <w:vMerge w:val="continue"/>
            <w:vAlign w:val="center"/>
          </w:tcPr>
          <w:p>
            <w:pPr>
              <w:pStyle w:val="36"/>
              <w:jc w:val="center"/>
            </w:pPr>
          </w:p>
        </w:tc>
        <w:tc>
          <w:tcPr>
            <w:tcW w:w="1918" w:type="dxa"/>
            <w:vAlign w:val="center"/>
          </w:tcPr>
          <w:p>
            <w:pPr>
              <w:pStyle w:val="36"/>
            </w:pPr>
            <w:r>
              <w:rPr>
                <w:rFonts w:hint="eastAsia"/>
              </w:rPr>
              <w:t>开标记录</w:t>
            </w:r>
          </w:p>
        </w:tc>
        <w:tc>
          <w:tcPr>
            <w:tcW w:w="5173" w:type="dxa"/>
            <w:vAlign w:val="center"/>
          </w:tcPr>
          <w:p>
            <w:pPr>
              <w:pStyle w:val="36"/>
            </w:pPr>
            <w:r>
              <w:rPr>
                <w:rFonts w:hint="eastAsia"/>
              </w:rPr>
              <w:t>报价应与投标文件一致。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8" w:hRule="atLeast"/>
        </w:trPr>
        <w:tc>
          <w:tcPr>
            <w:tcW w:w="866" w:type="dxa"/>
            <w:vAlign w:val="center"/>
          </w:tcPr>
          <w:p>
            <w:pPr>
              <w:pStyle w:val="36"/>
              <w:jc w:val="center"/>
            </w:pPr>
            <w:r>
              <w:rPr>
                <w:rFonts w:hint="eastAsia"/>
              </w:rPr>
              <w:t>1</w:t>
            </w:r>
            <w:r>
              <w:t>.1.2</w:t>
            </w:r>
          </w:p>
        </w:tc>
        <w:tc>
          <w:tcPr>
            <w:tcW w:w="2998" w:type="dxa"/>
            <w:gridSpan w:val="2"/>
            <w:vAlign w:val="center"/>
          </w:tcPr>
          <w:p>
            <w:pPr>
              <w:pStyle w:val="36"/>
              <w:jc w:val="center"/>
            </w:pPr>
            <w:r>
              <w:rPr>
                <w:rFonts w:hint="eastAsia" w:cs="微软雅黑"/>
              </w:rPr>
              <w:t>资</w:t>
            </w:r>
            <w:r>
              <w:rPr>
                <w:rFonts w:hint="eastAsia"/>
              </w:rPr>
              <w:t>格</w:t>
            </w:r>
            <w:r>
              <w:rPr>
                <w:rFonts w:hint="eastAsia" w:cs="微软雅黑"/>
                <w:spacing w:val="-3"/>
              </w:rPr>
              <w:t>评</w:t>
            </w:r>
            <w:r>
              <w:rPr>
                <w:rFonts w:hint="eastAsia" w:cs="微软雅黑"/>
              </w:rPr>
              <w:t>审标</w:t>
            </w:r>
            <w:r>
              <w:rPr>
                <w:rFonts w:hint="eastAsia"/>
              </w:rPr>
              <w:t>准</w:t>
            </w:r>
          </w:p>
        </w:tc>
        <w:tc>
          <w:tcPr>
            <w:tcW w:w="5173" w:type="dxa"/>
            <w:vAlign w:val="center"/>
          </w:tcPr>
          <w:p>
            <w:pPr>
              <w:pStyle w:val="36"/>
            </w:pPr>
            <w:r>
              <w:rPr>
                <w:rFonts w:hint="eastAsia"/>
              </w:rPr>
              <w:t>符合</w:t>
            </w:r>
            <w:r>
              <w:rPr>
                <w:rFonts w:hint="eastAsia"/>
                <w:spacing w:val="-3"/>
              </w:rPr>
              <w:t>投</w:t>
            </w:r>
            <w:r>
              <w:rPr>
                <w:rFonts w:hint="eastAsia" w:cs="微软雅黑"/>
              </w:rPr>
              <w:t>标</w:t>
            </w:r>
            <w:r>
              <w:rPr>
                <w:rFonts w:hint="eastAsia"/>
                <w:spacing w:val="-3"/>
              </w:rPr>
              <w:t>人</w:t>
            </w:r>
            <w:r>
              <w:rPr>
                <w:rFonts w:hint="eastAsia" w:cs="微软雅黑"/>
              </w:rPr>
              <w:t>须</w:t>
            </w:r>
            <w:r>
              <w:rPr>
                <w:rFonts w:hint="eastAsia"/>
                <w:spacing w:val="-1"/>
              </w:rPr>
              <w:t>知</w:t>
            </w:r>
            <w:r>
              <w:rPr>
                <w:rFonts w:hint="eastAsia"/>
                <w:spacing w:val="-3"/>
              </w:rPr>
              <w:t>相关</w:t>
            </w:r>
            <w:r>
              <w:rPr>
                <w:rFonts w:hint="eastAsia" w:cs="微软雅黑"/>
              </w:rPr>
              <w:t>规</w:t>
            </w:r>
            <w:r>
              <w:rPr>
                <w:rFonts w:hint="eastAsia"/>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6"/>
              <w:jc w:val="center"/>
            </w:pPr>
            <w:r>
              <w:t>条款号</w:t>
            </w:r>
          </w:p>
        </w:tc>
        <w:tc>
          <w:tcPr>
            <w:tcW w:w="1918" w:type="dxa"/>
            <w:tcBorders>
              <w:bottom w:val="single" w:color="auto" w:sz="4" w:space="0"/>
            </w:tcBorders>
            <w:vAlign w:val="center"/>
          </w:tcPr>
          <w:p>
            <w:pPr>
              <w:pStyle w:val="36"/>
            </w:pPr>
            <w:r>
              <w:t>评审因素</w:t>
            </w:r>
          </w:p>
        </w:tc>
        <w:tc>
          <w:tcPr>
            <w:tcW w:w="5173" w:type="dxa"/>
            <w:tcBorders>
              <w:bottom w:val="single" w:color="auto" w:sz="4" w:space="0"/>
            </w:tcBorders>
            <w:vAlign w:val="center"/>
          </w:tcPr>
          <w:p>
            <w:pPr>
              <w:pStyle w:val="36"/>
            </w:pPr>
            <w: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6"/>
              <w:jc w:val="center"/>
            </w:pPr>
            <w:r>
              <w:t>2.2.1</w:t>
            </w:r>
          </w:p>
        </w:tc>
        <w:tc>
          <w:tcPr>
            <w:tcW w:w="1918" w:type="dxa"/>
            <w:tcBorders>
              <w:bottom w:val="single" w:color="auto" w:sz="4" w:space="0"/>
            </w:tcBorders>
            <w:vAlign w:val="center"/>
          </w:tcPr>
          <w:p>
            <w:pPr>
              <w:pStyle w:val="36"/>
            </w:pPr>
            <w:r>
              <w:t>分值构成</w:t>
            </w:r>
          </w:p>
          <w:p>
            <w:pPr>
              <w:pStyle w:val="36"/>
            </w:pPr>
            <w:r>
              <w:t>(总分 100 分)</w:t>
            </w:r>
          </w:p>
        </w:tc>
        <w:tc>
          <w:tcPr>
            <w:tcW w:w="5173" w:type="dxa"/>
            <w:tcBorders>
              <w:bottom w:val="single" w:color="auto" w:sz="4" w:space="0"/>
            </w:tcBorders>
            <w:vAlign w:val="center"/>
          </w:tcPr>
          <w:p>
            <w:pPr>
              <w:pStyle w:val="36"/>
            </w:pPr>
            <w:r>
              <w:t>本款修改如下：</w:t>
            </w:r>
          </w:p>
          <w:p>
            <w:pPr>
              <w:pStyle w:val="36"/>
            </w:pPr>
            <w:r>
              <w:t>（1）商务部分：</w:t>
            </w:r>
            <w:r>
              <w:rPr>
                <w:rFonts w:hint="eastAsia"/>
                <w:lang w:val="en-US" w:eastAsia="zh-CN"/>
              </w:rPr>
              <w:t>2</w:t>
            </w:r>
            <w:r>
              <w:t>0分。</w:t>
            </w:r>
          </w:p>
          <w:p>
            <w:pPr>
              <w:pStyle w:val="36"/>
            </w:pPr>
            <w:r>
              <w:t>（2）技术部分：</w:t>
            </w:r>
            <w:r>
              <w:rPr>
                <w:rFonts w:hint="eastAsia"/>
                <w:lang w:val="en-US" w:eastAsia="zh-CN"/>
              </w:rPr>
              <w:t>2</w:t>
            </w:r>
            <w:r>
              <w:t>0分。</w:t>
            </w:r>
          </w:p>
          <w:p>
            <w:pPr>
              <w:pStyle w:val="36"/>
            </w:pPr>
            <w:r>
              <w:t>（3）价格部分：</w:t>
            </w:r>
            <w:r>
              <w:rPr>
                <w:rFonts w:hint="eastAsia"/>
                <w:lang w:val="en-US" w:eastAsia="zh-CN"/>
              </w:rPr>
              <w:t>6</w:t>
            </w:r>
            <w: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6"/>
              <w:jc w:val="center"/>
            </w:pPr>
            <w:r>
              <w:t>2.2.2</w:t>
            </w:r>
          </w:p>
        </w:tc>
        <w:tc>
          <w:tcPr>
            <w:tcW w:w="1918" w:type="dxa"/>
            <w:tcBorders>
              <w:bottom w:val="single" w:color="auto" w:sz="4" w:space="0"/>
            </w:tcBorders>
            <w:vAlign w:val="center"/>
          </w:tcPr>
          <w:p>
            <w:pPr>
              <w:pStyle w:val="36"/>
            </w:pPr>
            <w:r>
              <w:t>评标基准价计算方法</w:t>
            </w:r>
          </w:p>
        </w:tc>
        <w:tc>
          <w:tcPr>
            <w:tcW w:w="5173" w:type="dxa"/>
            <w:tcBorders>
              <w:bottom w:val="single" w:color="auto" w:sz="4" w:space="0"/>
            </w:tcBorders>
            <w:vAlign w:val="center"/>
          </w:tcPr>
          <w:p>
            <w:pPr>
              <w:pStyle w:val="36"/>
            </w:pPr>
            <w:r>
              <w:rPr>
                <w:rFonts w:hint="eastAsia"/>
              </w:rPr>
              <w:t>详见</w:t>
            </w:r>
            <w:r>
              <w:t>附件</w:t>
            </w:r>
            <w:r>
              <w:rPr>
                <w:rFonts w:hint="eastAsia"/>
              </w:rPr>
              <w:t>三：价格评审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6"/>
              <w:jc w:val="center"/>
            </w:pPr>
            <w:r>
              <w:t>2.2.3</w:t>
            </w:r>
          </w:p>
        </w:tc>
        <w:tc>
          <w:tcPr>
            <w:tcW w:w="1918" w:type="dxa"/>
            <w:tcBorders>
              <w:bottom w:val="single" w:color="auto" w:sz="4" w:space="0"/>
            </w:tcBorders>
            <w:vAlign w:val="center"/>
          </w:tcPr>
          <w:p>
            <w:pPr>
              <w:pStyle w:val="36"/>
            </w:pPr>
            <w:r>
              <w:t>投标报价的偏差率计算公式</w:t>
            </w:r>
          </w:p>
        </w:tc>
        <w:tc>
          <w:tcPr>
            <w:tcW w:w="5173" w:type="dxa"/>
            <w:tcBorders>
              <w:bottom w:val="single" w:color="auto" w:sz="4" w:space="0"/>
            </w:tcBorders>
            <w:vAlign w:val="center"/>
          </w:tcPr>
          <w:p>
            <w:pPr>
              <w:pStyle w:val="36"/>
            </w:pPr>
            <w:r>
              <w:rPr>
                <w:rFonts w:hint="eastAsia"/>
              </w:rPr>
              <w:t>详见</w:t>
            </w:r>
            <w:r>
              <w:t>附件</w:t>
            </w:r>
            <w:r>
              <w:rPr>
                <w:rFonts w:hint="eastAsia"/>
              </w:rPr>
              <w:t>三：价格评审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6"/>
              <w:jc w:val="center"/>
            </w:pPr>
            <w:r>
              <w:t>2.2.4（1）</w:t>
            </w:r>
          </w:p>
        </w:tc>
        <w:tc>
          <w:tcPr>
            <w:tcW w:w="1918" w:type="dxa"/>
            <w:tcBorders>
              <w:bottom w:val="single" w:color="auto" w:sz="4" w:space="0"/>
            </w:tcBorders>
            <w:vAlign w:val="center"/>
          </w:tcPr>
          <w:p>
            <w:pPr>
              <w:pStyle w:val="36"/>
            </w:pPr>
            <w:r>
              <w:t>商务评分标准</w:t>
            </w:r>
          </w:p>
        </w:tc>
        <w:tc>
          <w:tcPr>
            <w:tcW w:w="5173" w:type="dxa"/>
            <w:tcBorders>
              <w:bottom w:val="single" w:color="auto" w:sz="4" w:space="0"/>
            </w:tcBorders>
            <w:vAlign w:val="center"/>
          </w:tcPr>
          <w:p>
            <w:pPr>
              <w:pStyle w:val="36"/>
            </w:pPr>
            <w:r>
              <w:rPr>
                <w:rFonts w:hint="eastAsia"/>
              </w:rPr>
              <w:t>详见</w:t>
            </w:r>
            <w:r>
              <w:t>附件一</w:t>
            </w:r>
            <w:r>
              <w:rPr>
                <w:rFonts w:hint="eastAsia"/>
              </w:rPr>
              <w:t>：商务</w:t>
            </w:r>
            <w:r>
              <w:t>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6"/>
              <w:jc w:val="center"/>
            </w:pPr>
            <w:r>
              <w:t>2.2.4（2）</w:t>
            </w:r>
          </w:p>
        </w:tc>
        <w:tc>
          <w:tcPr>
            <w:tcW w:w="1918" w:type="dxa"/>
            <w:tcBorders>
              <w:bottom w:val="single" w:color="auto" w:sz="4" w:space="0"/>
            </w:tcBorders>
            <w:vAlign w:val="center"/>
          </w:tcPr>
          <w:p>
            <w:pPr>
              <w:pStyle w:val="36"/>
            </w:pPr>
            <w:r>
              <w:t>技术评分标准</w:t>
            </w:r>
          </w:p>
        </w:tc>
        <w:tc>
          <w:tcPr>
            <w:tcW w:w="5173" w:type="dxa"/>
            <w:tcBorders>
              <w:bottom w:val="single" w:color="auto" w:sz="4" w:space="0"/>
            </w:tcBorders>
            <w:vAlign w:val="center"/>
          </w:tcPr>
          <w:p>
            <w:pPr>
              <w:pStyle w:val="36"/>
            </w:pPr>
            <w:r>
              <w:rPr>
                <w:rFonts w:hint="eastAsia"/>
              </w:rPr>
              <w:t>详见</w:t>
            </w:r>
            <w:r>
              <w:t>附件</w:t>
            </w:r>
            <w:r>
              <w:rPr>
                <w:rFonts w:hint="eastAsia"/>
              </w:rPr>
              <w:t>二：</w:t>
            </w:r>
            <w:r>
              <w:t>技术评分表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6"/>
              <w:jc w:val="center"/>
            </w:pPr>
            <w:r>
              <w:t>2.2.4（3）</w:t>
            </w:r>
          </w:p>
        </w:tc>
        <w:tc>
          <w:tcPr>
            <w:tcW w:w="1918" w:type="dxa"/>
            <w:tcBorders>
              <w:bottom w:val="single" w:color="auto" w:sz="4" w:space="0"/>
            </w:tcBorders>
            <w:vAlign w:val="center"/>
          </w:tcPr>
          <w:p>
            <w:pPr>
              <w:pStyle w:val="36"/>
            </w:pPr>
            <w:r>
              <w:t>投标报价</w:t>
            </w:r>
          </w:p>
        </w:tc>
        <w:tc>
          <w:tcPr>
            <w:tcW w:w="5173" w:type="dxa"/>
            <w:tcBorders>
              <w:bottom w:val="single" w:color="auto" w:sz="4" w:space="0"/>
            </w:tcBorders>
            <w:vAlign w:val="center"/>
          </w:tcPr>
          <w:p>
            <w:pPr>
              <w:pStyle w:val="36"/>
            </w:pPr>
            <w:r>
              <w:rPr>
                <w:rFonts w:hint="eastAsia"/>
              </w:rPr>
              <w:t>详见</w:t>
            </w:r>
            <w:r>
              <w:t>附件</w:t>
            </w:r>
            <w:r>
              <w:rPr>
                <w:rFonts w:hint="eastAsia"/>
              </w:rPr>
              <w:t>三：价格评审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6"/>
              <w:jc w:val="center"/>
            </w:pPr>
            <w:r>
              <w:t>2.2.5</w:t>
            </w:r>
          </w:p>
        </w:tc>
        <w:tc>
          <w:tcPr>
            <w:tcW w:w="7091" w:type="dxa"/>
            <w:gridSpan w:val="2"/>
            <w:tcBorders>
              <w:bottom w:val="single" w:color="auto" w:sz="4" w:space="0"/>
            </w:tcBorders>
            <w:vAlign w:val="center"/>
          </w:tcPr>
          <w:p>
            <w:pPr>
              <w:pStyle w:val="36"/>
            </w:pPr>
            <w:r>
              <w:rPr>
                <w:rFonts w:hint="eastAsia"/>
              </w:rPr>
              <w:t>不平衡报价的调整。招标人保留在不改变投标人投标总报价（经算术错误改正的投标总报价）的前提下对投标人的不平衡报价作出调整的权力。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6"/>
              <w:jc w:val="center"/>
            </w:pPr>
            <w:r>
              <w:t>3.2.1</w:t>
            </w:r>
          </w:p>
        </w:tc>
        <w:tc>
          <w:tcPr>
            <w:tcW w:w="7091" w:type="dxa"/>
            <w:gridSpan w:val="2"/>
            <w:tcBorders>
              <w:bottom w:val="single" w:color="auto" w:sz="4" w:space="0"/>
            </w:tcBorders>
            <w:vAlign w:val="center"/>
          </w:tcPr>
          <w:p>
            <w:pPr>
              <w:pStyle w:val="36"/>
            </w:pPr>
            <w:r>
              <w:t>本款修改如下：</w:t>
            </w:r>
          </w:p>
          <w:p>
            <w:pPr>
              <w:pStyle w:val="36"/>
            </w:pPr>
            <w:r>
              <w:t>3.2.1 评标委员会按本章第 2.2 款规定的量化因素和分值进行打分，并计算出综合评估得分。</w:t>
            </w:r>
          </w:p>
          <w:p>
            <w:pPr>
              <w:pStyle w:val="36"/>
            </w:pPr>
            <w:r>
              <w:t>（1）按本章第 2.2.4（1）目规定的评审因素</w:t>
            </w:r>
            <w:r>
              <w:rPr>
                <w:rFonts w:hint="eastAsia"/>
              </w:rPr>
              <w:t>、</w:t>
            </w:r>
            <w:r>
              <w:t>分值</w:t>
            </w:r>
            <w:r>
              <w:rPr>
                <w:rFonts w:hint="eastAsia"/>
              </w:rPr>
              <w:t>和</w:t>
            </w:r>
            <w:r>
              <w:t>2.2.1目规定的权重对商务文件部分计算出得分 A；</w:t>
            </w:r>
          </w:p>
          <w:p>
            <w:pPr>
              <w:pStyle w:val="36"/>
            </w:pPr>
            <w:r>
              <w:t>（2）按本章第 2.2.4（2）目规定的评审因素</w:t>
            </w:r>
            <w:r>
              <w:rPr>
                <w:rFonts w:hint="eastAsia"/>
              </w:rPr>
              <w:t>、</w:t>
            </w:r>
            <w:r>
              <w:t>分值</w:t>
            </w:r>
            <w:r>
              <w:rPr>
                <w:rFonts w:hint="eastAsia"/>
              </w:rPr>
              <w:t>和</w:t>
            </w:r>
            <w:r>
              <w:t>2.2.1目规定的权重对技术文件部分计算出得分 B；</w:t>
            </w:r>
          </w:p>
          <w:p>
            <w:pPr>
              <w:pStyle w:val="36"/>
            </w:pPr>
            <w:r>
              <w:t>（3）按本章第 2.2.4（3）目规定的评审因素</w:t>
            </w:r>
            <w:r>
              <w:rPr>
                <w:rFonts w:hint="eastAsia"/>
              </w:rPr>
              <w:t>、</w:t>
            </w:r>
            <w:r>
              <w:t>分值</w:t>
            </w:r>
            <w:r>
              <w:rPr>
                <w:rFonts w:hint="eastAsia"/>
              </w:rPr>
              <w:t>和</w:t>
            </w:r>
            <w:r>
              <w:t>2.2.1目规定的权重对投标报价计算出得分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6"/>
              <w:jc w:val="center"/>
            </w:pPr>
            <w:r>
              <w:t>3.2.3</w:t>
            </w:r>
          </w:p>
        </w:tc>
        <w:tc>
          <w:tcPr>
            <w:tcW w:w="7091" w:type="dxa"/>
            <w:gridSpan w:val="2"/>
            <w:tcBorders>
              <w:bottom w:val="single" w:color="auto" w:sz="4" w:space="0"/>
            </w:tcBorders>
            <w:vAlign w:val="center"/>
          </w:tcPr>
          <w:p>
            <w:pPr>
              <w:pStyle w:val="36"/>
            </w:pPr>
            <w:r>
              <w:t>本款修改如下：投标人得分=A+B+C</w:t>
            </w:r>
          </w:p>
        </w:tc>
      </w:tr>
    </w:tbl>
    <w:p>
      <w:pPr>
        <w:spacing w:line="360" w:lineRule="auto"/>
        <w:rPr>
          <w:rFonts w:ascii="Times New Roman" w:hAnsi="Times New Roman" w:eastAsia="宋体" w:cs="Arial"/>
          <w:b/>
          <w:sz w:val="28"/>
          <w:szCs w:val="28"/>
        </w:rPr>
        <w:sectPr>
          <w:pgSz w:w="11907" w:h="16840"/>
          <w:pgMar w:top="1440" w:right="1440" w:bottom="1440" w:left="1440" w:header="851" w:footer="992" w:gutter="0"/>
          <w:cols w:space="720" w:num="1"/>
          <w:docGrid w:linePitch="326" w:charSpace="0"/>
        </w:sectPr>
      </w:pPr>
    </w:p>
    <w:p>
      <w:pPr>
        <w:pStyle w:val="68"/>
        <w:rPr>
          <w:b/>
          <w:bCs/>
        </w:rPr>
      </w:pPr>
      <w:r>
        <w:rPr>
          <w:rFonts w:hint="eastAsia"/>
          <w:b/>
          <w:bCs/>
        </w:rPr>
        <w:t>附件一：商务评分表</w:t>
      </w:r>
    </w:p>
    <w:p>
      <w:pPr>
        <w:pStyle w:val="71"/>
      </w:pPr>
      <w:r>
        <w:rPr>
          <w:rFonts w:hint="eastAsia"/>
        </w:rPr>
        <w:t>商务评分表</w:t>
      </w:r>
    </w:p>
    <w:tbl>
      <w:tblPr>
        <w:tblStyle w:val="34"/>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95"/>
        <w:gridCol w:w="5014"/>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46" w:type="dxa"/>
            <w:vMerge w:val="restart"/>
            <w:vAlign w:val="center"/>
          </w:tcPr>
          <w:p>
            <w:pPr>
              <w:pStyle w:val="80"/>
            </w:pPr>
            <w:r>
              <w:t>商务</w:t>
            </w:r>
          </w:p>
          <w:p>
            <w:pPr>
              <w:pStyle w:val="80"/>
            </w:pPr>
            <w:r>
              <w:t>部分</w:t>
            </w:r>
          </w:p>
          <w:p>
            <w:pPr>
              <w:pStyle w:val="80"/>
            </w:pPr>
            <w:r>
              <w:t>评分</w:t>
            </w:r>
          </w:p>
          <w:p>
            <w:pPr>
              <w:pStyle w:val="80"/>
            </w:pPr>
            <w:r>
              <w:t>标准(</w:t>
            </w:r>
            <w:r>
              <w:rPr>
                <w:rFonts w:hint="eastAsia"/>
                <w:lang w:val="en-US" w:eastAsia="zh-CN"/>
              </w:rPr>
              <w:t>2</w:t>
            </w:r>
            <w:r>
              <w:t>0)</w:t>
            </w:r>
          </w:p>
        </w:tc>
        <w:tc>
          <w:tcPr>
            <w:tcW w:w="2595" w:type="dxa"/>
            <w:vAlign w:val="center"/>
          </w:tcPr>
          <w:p>
            <w:pPr>
              <w:pStyle w:val="80"/>
            </w:pPr>
            <w:r>
              <w:t>投标文件的符合性</w:t>
            </w:r>
          </w:p>
        </w:tc>
        <w:tc>
          <w:tcPr>
            <w:tcW w:w="5014" w:type="dxa"/>
            <w:vAlign w:val="center"/>
          </w:tcPr>
          <w:p>
            <w:pPr>
              <w:pStyle w:val="80"/>
              <w:jc w:val="both"/>
            </w:pPr>
            <w:r>
              <w:t>检查投标文件在内容与项目上的完整性，</w:t>
            </w:r>
            <w:r>
              <w:rPr>
                <w:rFonts w:hint="eastAsia"/>
              </w:rPr>
              <w:t>资料是否齐备（包括报价函分项报价表、技术、商务偏离表、投入使用设备表），</w:t>
            </w:r>
            <w:r>
              <w:t>针对投标人提出的非实质性商务偏差，评价其是否合理。</w:t>
            </w:r>
            <w:r>
              <w:rPr>
                <w:rFonts w:hint="eastAsia"/>
              </w:rPr>
              <w:t>（优得</w:t>
            </w:r>
            <w:r>
              <w:rPr>
                <w:highlight w:val="none"/>
              </w:rPr>
              <w:t>4</w:t>
            </w:r>
            <w:r>
              <w:rPr>
                <w:rFonts w:hint="eastAsia"/>
                <w:lang w:val="en-US" w:eastAsia="zh-CN"/>
              </w:rPr>
              <w:t>～</w:t>
            </w:r>
            <w:r>
              <w:rPr>
                <w:highlight w:val="none"/>
              </w:rPr>
              <w:t>5</w:t>
            </w:r>
            <w:r>
              <w:rPr>
                <w:rFonts w:hint="eastAsia"/>
                <w:highlight w:val="none"/>
              </w:rPr>
              <w:t>分，</w:t>
            </w:r>
            <w:r>
              <w:rPr>
                <w:rFonts w:hint="eastAsia"/>
                <w:highlight w:val="none"/>
                <w:lang w:val="en-US" w:eastAsia="zh-CN"/>
              </w:rPr>
              <w:t>良好</w:t>
            </w:r>
            <w:r>
              <w:rPr>
                <w:rFonts w:hint="eastAsia"/>
                <w:highlight w:val="none"/>
              </w:rPr>
              <w:t>得</w:t>
            </w:r>
            <w:r>
              <w:rPr>
                <w:highlight w:val="none"/>
              </w:rPr>
              <w:t>2</w:t>
            </w:r>
            <w:r>
              <w:rPr>
                <w:rFonts w:hint="eastAsia"/>
                <w:lang w:val="en-US" w:eastAsia="zh-CN"/>
              </w:rPr>
              <w:t>～</w:t>
            </w:r>
            <w:r>
              <w:rPr>
                <w:highlight w:val="none"/>
              </w:rPr>
              <w:t>3</w:t>
            </w:r>
            <w:r>
              <w:rPr>
                <w:rFonts w:hint="eastAsia"/>
                <w:highlight w:val="none"/>
              </w:rPr>
              <w:t>分，</w:t>
            </w:r>
            <w:r>
              <w:rPr>
                <w:rFonts w:hint="eastAsia"/>
                <w:highlight w:val="none"/>
                <w:lang w:val="en-US" w:eastAsia="zh-CN"/>
              </w:rPr>
              <w:t>一般</w:t>
            </w:r>
            <w:r>
              <w:rPr>
                <w:rFonts w:hint="eastAsia"/>
                <w:highlight w:val="none"/>
              </w:rPr>
              <w:t>得1</w:t>
            </w:r>
            <w:r>
              <w:rPr>
                <w:rFonts w:hint="eastAsia"/>
                <w:lang w:val="en-US" w:eastAsia="zh-CN"/>
              </w:rPr>
              <w:t>～</w:t>
            </w:r>
            <w:r>
              <w:rPr>
                <w:highlight w:val="none"/>
              </w:rPr>
              <w:t>2</w:t>
            </w:r>
            <w:r>
              <w:rPr>
                <w:rFonts w:hint="eastAsia"/>
              </w:rPr>
              <w:t>分）</w:t>
            </w:r>
          </w:p>
        </w:tc>
        <w:tc>
          <w:tcPr>
            <w:tcW w:w="788" w:type="dxa"/>
            <w:vAlign w:val="center"/>
          </w:tcPr>
          <w:p>
            <w:pPr>
              <w:pStyle w:val="80"/>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46" w:type="dxa"/>
            <w:vMerge w:val="continue"/>
            <w:vAlign w:val="center"/>
          </w:tcPr>
          <w:p>
            <w:pPr>
              <w:pStyle w:val="80"/>
            </w:pPr>
          </w:p>
        </w:tc>
        <w:tc>
          <w:tcPr>
            <w:tcW w:w="2595" w:type="dxa"/>
            <w:vAlign w:val="center"/>
          </w:tcPr>
          <w:p>
            <w:pPr>
              <w:pStyle w:val="80"/>
            </w:pPr>
            <w:r>
              <w:t>企业信誉</w:t>
            </w:r>
          </w:p>
        </w:tc>
        <w:tc>
          <w:tcPr>
            <w:tcW w:w="5014" w:type="dxa"/>
            <w:vAlign w:val="center"/>
          </w:tcPr>
          <w:p>
            <w:pPr>
              <w:pStyle w:val="80"/>
              <w:jc w:val="both"/>
            </w:pPr>
            <w:r>
              <w:rPr>
                <w:rFonts w:hint="eastAsia"/>
                <w:highlight w:val="none"/>
              </w:rPr>
              <w:t>投标人</w:t>
            </w:r>
            <w:r>
              <w:rPr>
                <w:highlight w:val="none"/>
              </w:rPr>
              <w:t>信用评价结果分为三个等级</w:t>
            </w:r>
            <w:r>
              <w:rPr>
                <w:rFonts w:hint="eastAsia"/>
                <w:highlight w:val="none"/>
              </w:rPr>
              <w:t>（A</w:t>
            </w:r>
            <w:r>
              <w:rPr>
                <w:highlight w:val="none"/>
              </w:rPr>
              <w:t>A</w:t>
            </w:r>
            <w:r>
              <w:rPr>
                <w:rFonts w:hint="eastAsia"/>
                <w:highlight w:val="none"/>
              </w:rPr>
              <w:t>A得</w:t>
            </w:r>
            <w:r>
              <w:rPr>
                <w:highlight w:val="none"/>
              </w:rPr>
              <w:t>4</w:t>
            </w:r>
            <w:r>
              <w:rPr>
                <w:rFonts w:hint="eastAsia"/>
                <w:lang w:val="en-US" w:eastAsia="zh-CN"/>
              </w:rPr>
              <w:t>～</w:t>
            </w:r>
            <w:r>
              <w:rPr>
                <w:highlight w:val="none"/>
              </w:rPr>
              <w:t>5</w:t>
            </w:r>
            <w:r>
              <w:rPr>
                <w:rFonts w:hint="eastAsia"/>
                <w:highlight w:val="none"/>
              </w:rPr>
              <w:t>分，</w:t>
            </w:r>
            <w:r>
              <w:rPr>
                <w:highlight w:val="none"/>
              </w:rPr>
              <w:t>AA</w:t>
            </w:r>
            <w:r>
              <w:rPr>
                <w:rFonts w:hint="eastAsia"/>
                <w:highlight w:val="none"/>
              </w:rPr>
              <w:t>得</w:t>
            </w:r>
            <w:r>
              <w:rPr>
                <w:highlight w:val="none"/>
              </w:rPr>
              <w:t>2</w:t>
            </w:r>
            <w:r>
              <w:rPr>
                <w:rFonts w:hint="eastAsia"/>
                <w:lang w:val="en-US" w:eastAsia="zh-CN"/>
              </w:rPr>
              <w:t>～</w:t>
            </w:r>
            <w:r>
              <w:rPr>
                <w:highlight w:val="none"/>
              </w:rPr>
              <w:t>3</w:t>
            </w:r>
            <w:r>
              <w:rPr>
                <w:rFonts w:hint="eastAsia"/>
                <w:highlight w:val="none"/>
              </w:rPr>
              <w:t>分，</w:t>
            </w:r>
            <w:r>
              <w:rPr>
                <w:highlight w:val="none"/>
              </w:rPr>
              <w:t>A</w:t>
            </w:r>
            <w:r>
              <w:rPr>
                <w:rFonts w:hint="eastAsia"/>
                <w:highlight w:val="none"/>
              </w:rPr>
              <w:t>得1</w:t>
            </w:r>
            <w:r>
              <w:rPr>
                <w:rFonts w:hint="eastAsia"/>
                <w:lang w:val="en-US" w:eastAsia="zh-CN"/>
              </w:rPr>
              <w:t>～</w:t>
            </w:r>
            <w:r>
              <w:rPr>
                <w:highlight w:val="none"/>
              </w:rPr>
              <w:t>2</w:t>
            </w:r>
            <w:r>
              <w:rPr>
                <w:rFonts w:hint="eastAsia"/>
                <w:highlight w:val="none"/>
              </w:rPr>
              <w:t>分）</w:t>
            </w:r>
          </w:p>
        </w:tc>
        <w:tc>
          <w:tcPr>
            <w:tcW w:w="788" w:type="dxa"/>
            <w:vAlign w:val="center"/>
          </w:tcPr>
          <w:p>
            <w:pPr>
              <w:pStyle w:val="80"/>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46" w:type="dxa"/>
            <w:vMerge w:val="continue"/>
            <w:vAlign w:val="center"/>
          </w:tcPr>
          <w:p>
            <w:pPr>
              <w:pStyle w:val="80"/>
            </w:pPr>
          </w:p>
        </w:tc>
        <w:tc>
          <w:tcPr>
            <w:tcW w:w="2595" w:type="dxa"/>
            <w:vAlign w:val="center"/>
          </w:tcPr>
          <w:p>
            <w:pPr>
              <w:pStyle w:val="80"/>
            </w:pPr>
            <w:r>
              <w:t>财务状况</w:t>
            </w:r>
          </w:p>
        </w:tc>
        <w:tc>
          <w:tcPr>
            <w:tcW w:w="5014" w:type="dxa"/>
            <w:vAlign w:val="center"/>
          </w:tcPr>
          <w:p>
            <w:pPr>
              <w:pStyle w:val="80"/>
              <w:jc w:val="both"/>
            </w:pPr>
            <w:r>
              <w:t>评价投标人近1年财务状况</w:t>
            </w:r>
            <w:r>
              <w:rPr>
                <w:rFonts w:hint="eastAsia"/>
              </w:rPr>
              <w:t>（优得</w:t>
            </w:r>
            <w:r>
              <w:rPr>
                <w:rFonts w:hint="eastAsia"/>
                <w:lang w:val="en-US" w:eastAsia="zh-CN"/>
              </w:rPr>
              <w:t>4～5</w:t>
            </w:r>
            <w:r>
              <w:rPr>
                <w:rFonts w:hint="eastAsia"/>
              </w:rPr>
              <w:t>分，良得</w:t>
            </w:r>
            <w:r>
              <w:rPr>
                <w:rFonts w:hint="eastAsia"/>
                <w:lang w:val="en-US" w:eastAsia="zh-CN"/>
              </w:rPr>
              <w:t>2～3</w:t>
            </w:r>
            <w:r>
              <w:rPr>
                <w:rFonts w:hint="eastAsia"/>
              </w:rPr>
              <w:t>分，差得</w:t>
            </w:r>
            <w:r>
              <w:rPr>
                <w:rFonts w:hint="eastAsia"/>
                <w:lang w:val="en-US" w:eastAsia="zh-CN"/>
              </w:rPr>
              <w:t>0～2</w:t>
            </w:r>
            <w:r>
              <w:rPr>
                <w:rFonts w:hint="eastAsia"/>
              </w:rPr>
              <w:t>分）</w:t>
            </w:r>
          </w:p>
        </w:tc>
        <w:tc>
          <w:tcPr>
            <w:tcW w:w="788" w:type="dxa"/>
            <w:vAlign w:val="center"/>
          </w:tcPr>
          <w:p>
            <w:pPr>
              <w:pStyle w:val="80"/>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46" w:type="dxa"/>
            <w:vMerge w:val="continue"/>
            <w:vAlign w:val="center"/>
          </w:tcPr>
          <w:p>
            <w:pPr>
              <w:pStyle w:val="80"/>
            </w:pPr>
          </w:p>
        </w:tc>
        <w:tc>
          <w:tcPr>
            <w:tcW w:w="2595" w:type="dxa"/>
            <w:vAlign w:val="center"/>
          </w:tcPr>
          <w:p>
            <w:pPr>
              <w:pStyle w:val="80"/>
            </w:pPr>
            <w:r>
              <w:rPr>
                <w:rFonts w:hint="eastAsia"/>
              </w:rPr>
              <w:t>投标人单位资质</w:t>
            </w:r>
          </w:p>
        </w:tc>
        <w:tc>
          <w:tcPr>
            <w:tcW w:w="5014" w:type="dxa"/>
            <w:vAlign w:val="center"/>
          </w:tcPr>
          <w:p>
            <w:pPr>
              <w:pStyle w:val="80"/>
              <w:jc w:val="both"/>
            </w:pPr>
            <w:r>
              <w:rPr>
                <w:rFonts w:hint="eastAsia"/>
              </w:rPr>
              <w:t>评价投标人工程勘察资质，须具有工程勘察专业资质甲级及以上（工程勘察专业资质甲级得</w:t>
            </w:r>
            <w:r>
              <w:rPr>
                <w:rFonts w:hint="eastAsia"/>
                <w:lang w:val="en-US" w:eastAsia="zh-CN"/>
              </w:rPr>
              <w:t>2</w:t>
            </w:r>
            <w:r>
              <w:rPr>
                <w:rFonts w:hint="eastAsia"/>
              </w:rPr>
              <w:t>分，工程勘察综合资质甲级得</w:t>
            </w:r>
            <w:r>
              <w:rPr>
                <w:rFonts w:hint="eastAsia"/>
                <w:lang w:val="en-US" w:eastAsia="zh-CN"/>
              </w:rPr>
              <w:t>5</w:t>
            </w:r>
            <w:r>
              <w:rPr>
                <w:rFonts w:hint="eastAsia"/>
              </w:rPr>
              <w:t>分）</w:t>
            </w:r>
          </w:p>
        </w:tc>
        <w:tc>
          <w:tcPr>
            <w:tcW w:w="788" w:type="dxa"/>
            <w:vAlign w:val="center"/>
          </w:tcPr>
          <w:p>
            <w:pPr>
              <w:pStyle w:val="80"/>
            </w:pPr>
            <w:r>
              <w:rPr>
                <w:rFonts w:hint="eastAsia"/>
                <w:lang w:val="en-US" w:eastAsia="zh-CN"/>
              </w:rPr>
              <w:t>5</w:t>
            </w:r>
          </w:p>
        </w:tc>
      </w:tr>
    </w:tbl>
    <w:p>
      <w:pPr>
        <w:rPr>
          <w:rFonts w:ascii="Times New Roman" w:hAnsi="Times New Roman" w:eastAsia="宋体"/>
        </w:rPr>
      </w:pPr>
      <w:r>
        <w:rPr>
          <w:rFonts w:ascii="Times New Roman" w:hAnsi="Times New Roman" w:eastAsia="宋体"/>
        </w:rPr>
        <w:br w:type="page"/>
      </w:r>
    </w:p>
    <w:p>
      <w:pPr>
        <w:pStyle w:val="68"/>
        <w:rPr>
          <w:b/>
          <w:bCs/>
        </w:rPr>
      </w:pPr>
      <w:r>
        <w:rPr>
          <w:rFonts w:hint="eastAsia"/>
          <w:b/>
          <w:bCs/>
        </w:rPr>
        <w:t>附件二：技术评分表</w:t>
      </w:r>
    </w:p>
    <w:p>
      <w:pPr>
        <w:pStyle w:val="71"/>
      </w:pPr>
      <w:r>
        <w:rPr>
          <w:rFonts w:hint="eastAsia"/>
        </w:rPr>
        <w:t>技术评分表</w:t>
      </w:r>
    </w:p>
    <w:tbl>
      <w:tblPr>
        <w:tblStyle w:val="34"/>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6491"/>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8" w:type="dxa"/>
            <w:vAlign w:val="center"/>
          </w:tcPr>
          <w:p>
            <w:pPr>
              <w:pStyle w:val="80"/>
            </w:pPr>
            <w:r>
              <w:t>技术方案</w:t>
            </w:r>
          </w:p>
        </w:tc>
        <w:tc>
          <w:tcPr>
            <w:tcW w:w="6491" w:type="dxa"/>
            <w:vAlign w:val="center"/>
          </w:tcPr>
          <w:p>
            <w:pPr>
              <w:pStyle w:val="80"/>
              <w:jc w:val="both"/>
            </w:pPr>
            <w:r>
              <w:rPr>
                <w:rFonts w:hint="eastAsia"/>
              </w:rPr>
              <w:t>检测方法选择合理，技术先进，技术指标选择优于设计要求者得</w:t>
            </w:r>
            <w:r>
              <w:rPr>
                <w:highlight w:val="none"/>
              </w:rPr>
              <w:t>5</w:t>
            </w:r>
            <w:r>
              <w:rPr>
                <w:rFonts w:hint="eastAsia"/>
              </w:rPr>
              <w:t>分，检测方法选择合理，技术较先进，技术指标满足设计要求者得</w:t>
            </w:r>
            <w:r>
              <w:rPr>
                <w:highlight w:val="none"/>
              </w:rPr>
              <w:t>3</w:t>
            </w:r>
            <w:r>
              <w:rPr>
                <w:rFonts w:hint="eastAsia"/>
              </w:rPr>
              <w:t>分，检测方法较合理、技术较先进，技术指标基本满足设计要求者得</w:t>
            </w:r>
            <w:r>
              <w:rPr>
                <w:rFonts w:hint="eastAsia"/>
                <w:lang w:val="en-US" w:eastAsia="zh-CN"/>
              </w:rPr>
              <w:t>2</w:t>
            </w:r>
            <w:r>
              <w:rPr>
                <w:rFonts w:hint="eastAsia"/>
              </w:rPr>
              <w:t>分，其余情况酌情扣分。</w:t>
            </w:r>
          </w:p>
        </w:tc>
        <w:tc>
          <w:tcPr>
            <w:tcW w:w="884" w:type="dxa"/>
            <w:vAlign w:val="center"/>
          </w:tcPr>
          <w:p>
            <w:pPr>
              <w:pStyle w:val="80"/>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8" w:type="dxa"/>
            <w:vAlign w:val="center"/>
          </w:tcPr>
          <w:p>
            <w:pPr>
              <w:pStyle w:val="80"/>
            </w:pPr>
            <w:r>
              <w:rPr>
                <w:rFonts w:hint="eastAsia"/>
              </w:rPr>
              <w:t>工作部署</w:t>
            </w:r>
            <w:r>
              <w:t>和进度安排</w:t>
            </w:r>
          </w:p>
        </w:tc>
        <w:tc>
          <w:tcPr>
            <w:tcW w:w="6491" w:type="dxa"/>
            <w:vAlign w:val="center"/>
          </w:tcPr>
          <w:p>
            <w:pPr>
              <w:pStyle w:val="80"/>
              <w:jc w:val="both"/>
            </w:pPr>
            <w:r>
              <w:rPr>
                <w:rFonts w:hint="eastAsia"/>
              </w:rPr>
              <w:t>检测工作量部署合理、工作阶段划分清晰、检测工序合理，进度安排合理者得</w:t>
            </w:r>
            <w:r>
              <w:rPr>
                <w:rFonts w:hint="eastAsia"/>
                <w:lang w:val="en-US" w:eastAsia="zh-CN"/>
              </w:rPr>
              <w:t>3</w:t>
            </w:r>
            <w:r>
              <w:rPr>
                <w:rFonts w:hint="eastAsia"/>
              </w:rPr>
              <w:t>分；检测工作量部署合理，工作阶段划分较清晰、检测工序较合理、进度安排较合理者得</w:t>
            </w:r>
            <w:r>
              <w:rPr>
                <w:rFonts w:hint="eastAsia"/>
                <w:lang w:val="en-US" w:eastAsia="zh-CN"/>
              </w:rPr>
              <w:t>2</w:t>
            </w:r>
            <w:r>
              <w:rPr>
                <w:rFonts w:hint="eastAsia"/>
              </w:rPr>
              <w:t>分；其它情况酌情</w:t>
            </w:r>
            <w:r>
              <w:rPr>
                <w:rFonts w:hint="eastAsia"/>
                <w:lang w:val="en-US" w:eastAsia="zh-CN"/>
              </w:rPr>
              <w:t>得</w:t>
            </w:r>
            <w:r>
              <w:rPr>
                <w:rFonts w:hint="eastAsia"/>
              </w:rPr>
              <w:t>分。</w:t>
            </w:r>
          </w:p>
        </w:tc>
        <w:tc>
          <w:tcPr>
            <w:tcW w:w="884" w:type="dxa"/>
            <w:vAlign w:val="center"/>
          </w:tcPr>
          <w:p>
            <w:pPr>
              <w:pStyle w:val="80"/>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8" w:type="dxa"/>
            <w:vAlign w:val="center"/>
          </w:tcPr>
          <w:p>
            <w:pPr>
              <w:pStyle w:val="80"/>
            </w:pPr>
            <w:r>
              <w:t>服务、质量保障措施</w:t>
            </w:r>
          </w:p>
        </w:tc>
        <w:tc>
          <w:tcPr>
            <w:tcW w:w="6491" w:type="dxa"/>
            <w:vAlign w:val="center"/>
          </w:tcPr>
          <w:p>
            <w:pPr>
              <w:pStyle w:val="80"/>
              <w:jc w:val="both"/>
            </w:pPr>
            <w:r>
              <w:t>服务、质量保障措施是否合理可行，能否满足本项目实施需要</w:t>
            </w:r>
            <w:r>
              <w:rPr>
                <w:rFonts w:hint="eastAsia"/>
              </w:rPr>
              <w:t>（优得</w:t>
            </w:r>
            <w:r>
              <w:rPr>
                <w:rFonts w:hint="eastAsia"/>
                <w:highlight w:val="none"/>
                <w:lang w:val="en-US" w:eastAsia="zh-CN"/>
              </w:rPr>
              <w:t>3</w:t>
            </w:r>
            <w:r>
              <w:rPr>
                <w:rFonts w:hint="eastAsia"/>
                <w:highlight w:val="none"/>
              </w:rPr>
              <w:t>分，</w:t>
            </w:r>
            <w:r>
              <w:rPr>
                <w:rFonts w:hint="eastAsia"/>
                <w:highlight w:val="none"/>
                <w:lang w:val="en-US" w:eastAsia="zh-CN"/>
              </w:rPr>
              <w:t>良好</w:t>
            </w:r>
            <w:r>
              <w:rPr>
                <w:rFonts w:hint="eastAsia"/>
                <w:highlight w:val="none"/>
              </w:rPr>
              <w:t>得</w:t>
            </w:r>
            <w:r>
              <w:rPr>
                <w:rFonts w:hint="eastAsia"/>
                <w:highlight w:val="none"/>
                <w:lang w:val="en-US" w:eastAsia="zh-CN"/>
              </w:rPr>
              <w:t>2</w:t>
            </w:r>
            <w:r>
              <w:rPr>
                <w:rFonts w:hint="eastAsia"/>
                <w:highlight w:val="none"/>
              </w:rPr>
              <w:t>分，</w:t>
            </w:r>
            <w:r>
              <w:rPr>
                <w:rFonts w:hint="eastAsia"/>
                <w:highlight w:val="none"/>
                <w:lang w:val="en-US" w:eastAsia="zh-CN"/>
              </w:rPr>
              <w:t>一般</w:t>
            </w:r>
            <w:r>
              <w:rPr>
                <w:rFonts w:hint="eastAsia"/>
                <w:highlight w:val="none"/>
              </w:rPr>
              <w:t>得</w:t>
            </w:r>
            <w:r>
              <w:rPr>
                <w:rFonts w:hint="eastAsia"/>
                <w:highlight w:val="none"/>
                <w:lang w:val="en-US" w:eastAsia="zh-CN"/>
              </w:rPr>
              <w:t>0</w:t>
            </w:r>
            <w:r>
              <w:rPr>
                <w:rFonts w:hint="eastAsia"/>
                <w:lang w:val="en-US" w:eastAsia="zh-CN"/>
              </w:rPr>
              <w:t>～</w:t>
            </w:r>
            <w:r>
              <w:rPr>
                <w:rFonts w:hint="eastAsia"/>
                <w:highlight w:val="none"/>
                <w:lang w:val="en-US" w:eastAsia="zh-CN"/>
              </w:rPr>
              <w:t>1</w:t>
            </w:r>
            <w:r>
              <w:rPr>
                <w:rFonts w:hint="eastAsia"/>
              </w:rPr>
              <w:t>分）</w:t>
            </w:r>
          </w:p>
        </w:tc>
        <w:tc>
          <w:tcPr>
            <w:tcW w:w="884" w:type="dxa"/>
            <w:vAlign w:val="center"/>
          </w:tcPr>
          <w:p>
            <w:pPr>
              <w:pStyle w:val="80"/>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8" w:type="dxa"/>
            <w:vAlign w:val="center"/>
          </w:tcPr>
          <w:p>
            <w:pPr>
              <w:pStyle w:val="80"/>
            </w:pPr>
            <w:r>
              <w:t>项目团队配置</w:t>
            </w:r>
          </w:p>
        </w:tc>
        <w:tc>
          <w:tcPr>
            <w:tcW w:w="6491" w:type="dxa"/>
            <w:vAlign w:val="center"/>
          </w:tcPr>
          <w:p>
            <w:pPr>
              <w:pStyle w:val="80"/>
              <w:jc w:val="both"/>
            </w:pPr>
            <w:r>
              <w:t>本项目团队配置的人员数量、专业、素质、经验及结构合理性（</w:t>
            </w:r>
            <w:r>
              <w:rPr>
                <w:rFonts w:hint="eastAsia"/>
              </w:rPr>
              <w:t>参与人员具有相关专业教授级高工或博士后经历者得</w:t>
            </w:r>
            <w:r>
              <w:rPr>
                <w:rFonts w:hint="eastAsia"/>
                <w:lang w:val="en-US" w:eastAsia="zh-CN"/>
              </w:rPr>
              <w:t>4</w:t>
            </w:r>
            <w:r>
              <w:rPr>
                <w:rFonts w:hint="eastAsia"/>
              </w:rPr>
              <w:t>分，具有相关专业高级工程师者或注册岩土工程师者得</w:t>
            </w:r>
            <w:r>
              <w:rPr>
                <w:rFonts w:hint="eastAsia"/>
                <w:lang w:val="en-US" w:eastAsia="zh-CN"/>
              </w:rPr>
              <w:t>3</w:t>
            </w:r>
            <w:r>
              <w:rPr>
                <w:rFonts w:hint="eastAsia"/>
              </w:rPr>
              <w:t>分，其余情况酌情</w:t>
            </w:r>
            <w:r>
              <w:rPr>
                <w:rFonts w:hint="eastAsia"/>
                <w:lang w:val="en-US" w:eastAsia="zh-CN"/>
              </w:rPr>
              <w:t>得</w:t>
            </w:r>
            <w:r>
              <w:rPr>
                <w:rFonts w:hint="eastAsia"/>
              </w:rPr>
              <w:t>分</w:t>
            </w:r>
            <w:r>
              <w:t>）</w:t>
            </w:r>
            <w:r>
              <w:rPr>
                <w:rFonts w:hint="eastAsia"/>
                <w:lang w:val="en-US" w:eastAsia="zh-CN"/>
              </w:rPr>
              <w:t>。</w:t>
            </w:r>
          </w:p>
        </w:tc>
        <w:tc>
          <w:tcPr>
            <w:tcW w:w="884" w:type="dxa"/>
            <w:vAlign w:val="center"/>
          </w:tcPr>
          <w:p>
            <w:pPr>
              <w:pStyle w:val="80"/>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1868" w:type="dxa"/>
            <w:vAlign w:val="center"/>
          </w:tcPr>
          <w:p>
            <w:pPr>
              <w:pStyle w:val="80"/>
            </w:pPr>
            <w:r>
              <w:rPr>
                <w:lang w:bidi="en-US"/>
              </w:rPr>
              <w:t>项目负责人</w:t>
            </w:r>
            <w:r>
              <w:t>资历</w:t>
            </w:r>
          </w:p>
        </w:tc>
        <w:tc>
          <w:tcPr>
            <w:tcW w:w="6491" w:type="dxa"/>
            <w:vAlign w:val="center"/>
          </w:tcPr>
          <w:p>
            <w:pPr>
              <w:pStyle w:val="80"/>
              <w:jc w:val="both"/>
            </w:pPr>
            <w:r>
              <w:rPr>
                <w:lang w:bidi="en-US"/>
              </w:rPr>
              <w:t>项目负责人资质、</w:t>
            </w:r>
            <w:r>
              <w:t>业绩、经验、专业能力。</w:t>
            </w:r>
            <w:r>
              <w:rPr>
                <w:rFonts w:hint="eastAsia"/>
              </w:rPr>
              <w:t>项目负责人具有高级职称且具备相关检测资质者得5分，项目负责人具备中级职称或具备检测资质者得3分，其它情况酌情得分。</w:t>
            </w:r>
          </w:p>
        </w:tc>
        <w:tc>
          <w:tcPr>
            <w:tcW w:w="884" w:type="dxa"/>
            <w:vAlign w:val="center"/>
          </w:tcPr>
          <w:p>
            <w:pPr>
              <w:pStyle w:val="80"/>
            </w:pPr>
            <w:r>
              <w:rPr>
                <w:rFonts w:hint="eastAsia"/>
              </w:rPr>
              <w:t>5</w:t>
            </w:r>
          </w:p>
        </w:tc>
      </w:tr>
    </w:tbl>
    <w:p>
      <w:pPr>
        <w:rPr>
          <w:rFonts w:ascii="Times New Roman" w:hAnsi="Times New Roman" w:eastAsia="宋体"/>
          <w:szCs w:val="21"/>
        </w:rPr>
      </w:pPr>
      <w:r>
        <w:rPr>
          <w:rFonts w:ascii="Times New Roman" w:hAnsi="Times New Roman" w:eastAsia="宋体"/>
          <w:szCs w:val="21"/>
        </w:rPr>
        <w:br w:type="page"/>
      </w:r>
    </w:p>
    <w:p>
      <w:pPr>
        <w:pStyle w:val="68"/>
        <w:rPr>
          <w:b/>
          <w:bCs/>
        </w:rPr>
      </w:pPr>
      <w:r>
        <w:rPr>
          <w:rFonts w:hint="eastAsia"/>
          <w:b/>
          <w:bCs/>
        </w:rPr>
        <w:t>附件三：价格评审</w:t>
      </w:r>
    </w:p>
    <w:p>
      <w:pPr>
        <w:pStyle w:val="71"/>
      </w:pPr>
      <w:bookmarkStart w:id="216" w:name="_Hlk18679592"/>
      <w:r>
        <w:rPr>
          <w:rFonts w:hint="eastAsia"/>
        </w:rPr>
        <w:t>投标报价评比得分按下表计算：</w:t>
      </w:r>
    </w:p>
    <w:tbl>
      <w:tblPr>
        <w:tblStyle w:val="34"/>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592"/>
        <w:gridCol w:w="5861"/>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9" w:hRule="atLeast"/>
          <w:jc w:val="center"/>
        </w:trPr>
        <w:tc>
          <w:tcPr>
            <w:tcW w:w="1002" w:type="dxa"/>
            <w:vMerge w:val="restart"/>
            <w:vAlign w:val="center"/>
          </w:tcPr>
          <w:p>
            <w:pPr>
              <w:pStyle w:val="80"/>
            </w:pPr>
            <w:r>
              <w:t>报价</w:t>
            </w:r>
          </w:p>
          <w:p>
            <w:pPr>
              <w:pStyle w:val="80"/>
            </w:pPr>
            <w:r>
              <w:t>部分</w:t>
            </w:r>
          </w:p>
          <w:p>
            <w:pPr>
              <w:pStyle w:val="80"/>
            </w:pPr>
            <w:r>
              <w:t>评分</w:t>
            </w:r>
          </w:p>
          <w:p>
            <w:pPr>
              <w:pStyle w:val="80"/>
            </w:pPr>
            <w:r>
              <w:t>标准</w:t>
            </w:r>
            <w:r>
              <w:rPr>
                <w:rFonts w:hint="eastAsia"/>
              </w:rPr>
              <w:t>(</w:t>
            </w:r>
            <w:r>
              <w:t>30</w:t>
            </w:r>
            <w:r>
              <w:rPr>
                <w:rFonts w:hint="eastAsia" w:cs="Times New Roman"/>
              </w:rPr>
              <w:t>)</w:t>
            </w:r>
          </w:p>
        </w:tc>
        <w:tc>
          <w:tcPr>
            <w:tcW w:w="1592" w:type="dxa"/>
            <w:vMerge w:val="restart"/>
            <w:vAlign w:val="center"/>
          </w:tcPr>
          <w:p>
            <w:pPr>
              <w:pStyle w:val="80"/>
            </w:pPr>
            <w:r>
              <w:t>投标报价</w:t>
            </w:r>
          </w:p>
        </w:tc>
        <w:tc>
          <w:tcPr>
            <w:tcW w:w="5861" w:type="dxa"/>
            <w:textDirection w:val="lrTb"/>
            <w:vAlign w:val="center"/>
          </w:tcPr>
          <w:p>
            <w:pPr>
              <w:pStyle w:val="80"/>
              <w:jc w:val="left"/>
            </w:pPr>
            <w:r>
              <w:rPr>
                <w:rFonts w:hint="eastAsia" w:ascii="time" w:hAnsi="time" w:cs="宋体"/>
                <w:sz w:val="28"/>
                <w:szCs w:val="28"/>
              </w:rPr>
              <w:t>采用所有有效报价（经初步评审合格的投标文件的总报价；报价有修正的，以修正后的价格为准） 的最低价格为评标基准价</w:t>
            </w:r>
            <w:r>
              <w:rPr>
                <w:rFonts w:hint="eastAsia" w:ascii="time" w:hAnsi="time" w:cs="宋体"/>
                <w:sz w:val="28"/>
                <w:szCs w:val="28"/>
                <w:lang w:eastAsia="zh-CN"/>
              </w:rPr>
              <w:t>。</w:t>
            </w:r>
          </w:p>
        </w:tc>
        <w:tc>
          <w:tcPr>
            <w:tcW w:w="788" w:type="dxa"/>
            <w:vMerge w:val="restart"/>
            <w:vAlign w:val="center"/>
          </w:tcPr>
          <w:p>
            <w:pPr>
              <w:pStyle w:val="80"/>
              <w:rPr>
                <w:highlight w:val="yellow"/>
              </w:rPr>
            </w:pPr>
            <w:r>
              <w:rPr>
                <w:rFonts w:hint="eastAsia"/>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4" w:hRule="atLeast"/>
          <w:jc w:val="center"/>
        </w:trPr>
        <w:tc>
          <w:tcPr>
            <w:tcW w:w="1002" w:type="dxa"/>
            <w:vMerge w:val="continue"/>
            <w:vAlign w:val="center"/>
          </w:tcPr>
          <w:p>
            <w:pPr>
              <w:pStyle w:val="80"/>
            </w:pPr>
          </w:p>
        </w:tc>
        <w:tc>
          <w:tcPr>
            <w:tcW w:w="1592" w:type="dxa"/>
            <w:vMerge w:val="continue"/>
            <w:vAlign w:val="center"/>
          </w:tcPr>
          <w:p>
            <w:pPr>
              <w:pStyle w:val="80"/>
            </w:pPr>
          </w:p>
        </w:tc>
        <w:tc>
          <w:tcPr>
            <w:tcW w:w="5861" w:type="dxa"/>
            <w:textDirection w:val="lrTb"/>
            <w:vAlign w:val="center"/>
          </w:tcPr>
          <w:p>
            <w:pPr>
              <w:pStyle w:val="80"/>
              <w:jc w:val="left"/>
            </w:pPr>
            <w:r>
              <w:rPr>
                <w:rFonts w:hint="eastAsia" w:ascii="time" w:hAnsi="time" w:cs="宋体"/>
                <w:sz w:val="28"/>
                <w:szCs w:val="28"/>
              </w:rPr>
              <w:t>作为评标基准价的有效报价得满分；与评标基准价相比，其有效报价每增加 1%，扣 1 分（不足1%按直线插入法计算）</w:t>
            </w:r>
            <w:r>
              <w:rPr>
                <w:rFonts w:hint="eastAsia" w:ascii="time" w:hAnsi="time" w:cs="宋体"/>
                <w:sz w:val="28"/>
                <w:szCs w:val="28"/>
                <w:lang w:eastAsia="zh-CN"/>
              </w:rPr>
              <w:t>。</w:t>
            </w:r>
          </w:p>
        </w:tc>
        <w:tc>
          <w:tcPr>
            <w:tcW w:w="788" w:type="dxa"/>
            <w:vMerge w:val="continue"/>
            <w:vAlign w:val="center"/>
          </w:tcPr>
          <w:p>
            <w:pPr>
              <w:pStyle w:val="80"/>
            </w:pPr>
          </w:p>
        </w:tc>
      </w:tr>
    </w:tbl>
    <w:p>
      <w:pPr>
        <w:spacing w:line="360" w:lineRule="auto"/>
        <w:ind w:firstLine="420" w:firstLineChars="200"/>
        <w:rPr>
          <w:rFonts w:ascii="Times New Roman" w:hAnsi="Times New Roman" w:eastAsia="宋体" w:cs="Arial"/>
          <w:szCs w:val="21"/>
        </w:rPr>
      </w:pPr>
    </w:p>
    <w:bookmarkEnd w:id="216"/>
    <w:p>
      <w:pPr>
        <w:pStyle w:val="3"/>
        <w:textAlignment w:val="center"/>
        <w:sectPr>
          <w:pgSz w:w="11907" w:h="16840"/>
          <w:pgMar w:top="1440" w:right="1440" w:bottom="1440" w:left="1440" w:header="851" w:footer="992" w:gutter="0"/>
          <w:cols w:space="720" w:num="1"/>
          <w:docGrid w:linePitch="326" w:charSpace="0"/>
        </w:sectPr>
      </w:pPr>
    </w:p>
    <w:p>
      <w:pPr>
        <w:pStyle w:val="3"/>
      </w:pPr>
      <w:bookmarkStart w:id="217" w:name="_Toc29200945"/>
      <w:bookmarkStart w:id="218" w:name="_Toc12050"/>
      <w:r>
        <w:t>1</w:t>
      </w:r>
      <w:r>
        <w:rPr>
          <w:rFonts w:hint="eastAsia"/>
        </w:rPr>
        <w:t>. 评标方法</w:t>
      </w:r>
      <w:bookmarkEnd w:id="217"/>
      <w:bookmarkEnd w:id="218"/>
    </w:p>
    <w:p>
      <w:pPr>
        <w:pStyle w:val="70"/>
        <w:ind w:firstLine="560"/>
      </w:pPr>
      <w:r>
        <w:rPr>
          <w:rFonts w:hint="eastAsia"/>
        </w:rPr>
        <w:t>本次评标采用综合评估法。评标委员会对满足招标文件实质性要求的投标文件，按照本章第</w:t>
      </w:r>
      <w:r>
        <w:t>2.2</w:t>
      </w:r>
      <w:r>
        <w:rPr>
          <w:rFonts w:hint="eastAsia"/>
        </w:rPr>
        <w:t>款规定的评分标准进行打分，并按得分由高到低顺序推荐中标候选人，或根据招标人授权直接确定中标人，但投标报价低于其成本的除外。综合评分相等时，以投标报价低的优先；投标报价也相等的，以咨询服务方案得分高的优先；如果咨询服务方案得分也相等，按照评标办法前附表的规定确定中标候选人顺序。</w:t>
      </w:r>
    </w:p>
    <w:p>
      <w:pPr>
        <w:pStyle w:val="3"/>
      </w:pPr>
      <w:bookmarkStart w:id="219" w:name="_Toc29200946"/>
      <w:bookmarkStart w:id="220" w:name="_Toc16059"/>
      <w:r>
        <w:t>2</w:t>
      </w:r>
      <w:r>
        <w:rPr>
          <w:rFonts w:hint="eastAsia"/>
        </w:rPr>
        <w:t>. 评审标准</w:t>
      </w:r>
      <w:bookmarkEnd w:id="219"/>
      <w:bookmarkEnd w:id="220"/>
    </w:p>
    <w:p>
      <w:pPr>
        <w:pStyle w:val="4"/>
        <w:ind w:firstLine="560"/>
      </w:pPr>
      <w:r>
        <w:t>2.1</w:t>
      </w:r>
      <w:r>
        <w:rPr>
          <w:rFonts w:hint="eastAsia"/>
        </w:rPr>
        <w:t>初步评审标准</w:t>
      </w:r>
    </w:p>
    <w:p>
      <w:pPr>
        <w:pStyle w:val="70"/>
        <w:ind w:firstLine="560"/>
      </w:pPr>
      <w:r>
        <w:t>2.1.1</w:t>
      </w:r>
      <w:r>
        <w:rPr>
          <w:rFonts w:hint="eastAsia"/>
        </w:rPr>
        <w:t>形式评审标准：见评标办法前附表。</w:t>
      </w:r>
    </w:p>
    <w:p>
      <w:pPr>
        <w:pStyle w:val="70"/>
        <w:ind w:firstLine="560"/>
      </w:pPr>
      <w:r>
        <w:t>2.1.2</w:t>
      </w:r>
      <w:r>
        <w:rPr>
          <w:rFonts w:hint="eastAsia"/>
        </w:rPr>
        <w:t>资格评审标准：见评标办法前附表。</w:t>
      </w:r>
    </w:p>
    <w:p>
      <w:pPr>
        <w:pStyle w:val="70"/>
        <w:ind w:firstLine="560"/>
      </w:pPr>
      <w:r>
        <w:t>2.1.3</w:t>
      </w:r>
      <w:r>
        <w:rPr>
          <w:rFonts w:hint="eastAsia"/>
        </w:rPr>
        <w:t>响应性评审标准：见评标办法前附表。</w:t>
      </w:r>
    </w:p>
    <w:p>
      <w:pPr>
        <w:pStyle w:val="4"/>
        <w:ind w:firstLine="560"/>
      </w:pPr>
      <w:r>
        <w:t>2.2</w:t>
      </w:r>
      <w:r>
        <w:rPr>
          <w:rFonts w:hint="eastAsia"/>
        </w:rPr>
        <w:t>分值构成与评分标准</w:t>
      </w:r>
    </w:p>
    <w:p>
      <w:pPr>
        <w:pStyle w:val="70"/>
        <w:ind w:firstLine="560"/>
      </w:pPr>
      <w:r>
        <w:t>2.2.1</w:t>
      </w:r>
      <w:r>
        <w:rPr>
          <w:rFonts w:hint="eastAsia"/>
        </w:rPr>
        <w:t>分值构成</w:t>
      </w:r>
    </w:p>
    <w:p>
      <w:pPr>
        <w:pStyle w:val="70"/>
        <w:ind w:firstLine="560"/>
      </w:pPr>
      <w:r>
        <w:t>（1）商务部分：见评标办法前附表；</w:t>
      </w:r>
    </w:p>
    <w:p>
      <w:pPr>
        <w:pStyle w:val="70"/>
        <w:ind w:firstLine="560"/>
      </w:pPr>
      <w:r>
        <w:t>（2）技术部分：见评标办法前附表；</w:t>
      </w:r>
    </w:p>
    <w:p>
      <w:pPr>
        <w:pStyle w:val="70"/>
        <w:ind w:firstLine="560"/>
      </w:pPr>
      <w:r>
        <w:t>（3）报价部分：见评标办法前附表。</w:t>
      </w:r>
    </w:p>
    <w:p>
      <w:pPr>
        <w:pStyle w:val="70"/>
        <w:ind w:firstLine="560"/>
      </w:pPr>
      <w:r>
        <w:t>2.2.2</w:t>
      </w:r>
      <w:r>
        <w:rPr>
          <w:rFonts w:hint="eastAsia"/>
        </w:rPr>
        <w:t>评标基准价计算评标基准价计算方法：见评标办法前附表。</w:t>
      </w:r>
    </w:p>
    <w:p>
      <w:pPr>
        <w:pStyle w:val="70"/>
        <w:ind w:firstLine="560"/>
      </w:pPr>
      <w:r>
        <w:t>2.2.3</w:t>
      </w:r>
      <w:r>
        <w:rPr>
          <w:rFonts w:hint="eastAsia"/>
        </w:rPr>
        <w:t>投标报价的偏差率计算</w:t>
      </w:r>
    </w:p>
    <w:p>
      <w:pPr>
        <w:pStyle w:val="70"/>
        <w:ind w:firstLine="560"/>
      </w:pPr>
      <w:r>
        <w:rPr>
          <w:rFonts w:hint="eastAsia"/>
        </w:rPr>
        <w:t>投标报价的偏差率计算公式：见评标办法前附表。</w:t>
      </w:r>
    </w:p>
    <w:p>
      <w:pPr>
        <w:pStyle w:val="70"/>
        <w:ind w:firstLine="560"/>
      </w:pPr>
      <w:r>
        <w:t>2.2.4</w:t>
      </w:r>
      <w:r>
        <w:rPr>
          <w:rFonts w:hint="eastAsia"/>
        </w:rPr>
        <w:t>评分标准</w:t>
      </w:r>
    </w:p>
    <w:p>
      <w:pPr>
        <w:pStyle w:val="70"/>
        <w:ind w:firstLine="560"/>
      </w:pPr>
      <w:r>
        <w:t>（1）商务部分评分标准：见评标办法前附表；</w:t>
      </w:r>
    </w:p>
    <w:p>
      <w:pPr>
        <w:pStyle w:val="70"/>
        <w:ind w:firstLine="560"/>
      </w:pPr>
      <w:r>
        <w:t>（2）技术部分评分标准：见评标办法前附表；</w:t>
      </w:r>
    </w:p>
    <w:p>
      <w:pPr>
        <w:pStyle w:val="70"/>
        <w:ind w:firstLine="560"/>
      </w:pPr>
      <w:r>
        <w:t>（3）报价部分评分标准：见评标办法前附表。</w:t>
      </w:r>
    </w:p>
    <w:p>
      <w:pPr>
        <w:pStyle w:val="3"/>
      </w:pPr>
      <w:bookmarkStart w:id="221" w:name="_Toc17382"/>
      <w:bookmarkStart w:id="222" w:name="_Toc29200947"/>
      <w:r>
        <w:t>3</w:t>
      </w:r>
      <w:r>
        <w:rPr>
          <w:rFonts w:hint="eastAsia"/>
        </w:rPr>
        <w:t>. 评标程序</w:t>
      </w:r>
      <w:bookmarkEnd w:id="221"/>
      <w:bookmarkEnd w:id="222"/>
    </w:p>
    <w:p>
      <w:pPr>
        <w:pStyle w:val="4"/>
        <w:ind w:firstLine="560"/>
      </w:pPr>
      <w:r>
        <w:t>3.1</w:t>
      </w:r>
      <w:r>
        <w:rPr>
          <w:rFonts w:hint="eastAsia"/>
        </w:rPr>
        <w:t>初步评审</w:t>
      </w:r>
    </w:p>
    <w:p>
      <w:pPr>
        <w:pStyle w:val="70"/>
        <w:ind w:firstLine="560"/>
      </w:pPr>
      <w:r>
        <w:t>3.1.1</w:t>
      </w:r>
      <w:r>
        <w:rPr>
          <w:rFonts w:hint="eastAsia"/>
        </w:rPr>
        <w:t>评标委员会可以要求投标人提交第二章</w:t>
      </w:r>
      <w:r>
        <w:t>“</w:t>
      </w:r>
      <w:r>
        <w:rPr>
          <w:rFonts w:hint="eastAsia"/>
        </w:rPr>
        <w:t>投标人须知</w:t>
      </w:r>
      <w:r>
        <w:t>”</w:t>
      </w:r>
      <w:r>
        <w:rPr>
          <w:rFonts w:hint="eastAsia"/>
        </w:rPr>
        <w:t>规定的有关证明和证件的原件，以便核验。评标委员会依据本章规定的标准对投标文件进行初步评审。有一项不符合评审标准的，评标委员会应当否决其投标。</w:t>
      </w:r>
    </w:p>
    <w:p>
      <w:pPr>
        <w:pStyle w:val="70"/>
        <w:ind w:firstLine="560"/>
      </w:pPr>
      <w:r>
        <w:t>3.1.2</w:t>
      </w:r>
      <w:r>
        <w:rPr>
          <w:rFonts w:hint="eastAsia"/>
        </w:rPr>
        <w:t>投标人有以下情形之一的，评标委员会应当否决其投标：</w:t>
      </w:r>
    </w:p>
    <w:p>
      <w:pPr>
        <w:pStyle w:val="70"/>
        <w:ind w:firstLine="560"/>
      </w:pPr>
      <w:r>
        <w:rPr>
          <w:rFonts w:hint="eastAsia"/>
        </w:rPr>
        <w:t>（</w:t>
      </w:r>
      <w:r>
        <w:t>1</w:t>
      </w:r>
      <w:r>
        <w:rPr>
          <w:rFonts w:hint="eastAsia"/>
        </w:rPr>
        <w:t>）投标文件没有对招标文件的实质性要求和条件做出响应，或者对招标文件的偏差超出招标文件规定的偏差范围或最高项数；</w:t>
      </w:r>
    </w:p>
    <w:p>
      <w:pPr>
        <w:pStyle w:val="70"/>
        <w:ind w:firstLine="560"/>
      </w:pPr>
      <w:r>
        <w:rPr>
          <w:rFonts w:hint="eastAsia"/>
        </w:rPr>
        <w:t>（</w:t>
      </w:r>
      <w:r>
        <w:t>2</w:t>
      </w:r>
      <w:r>
        <w:rPr>
          <w:rFonts w:hint="eastAsia"/>
        </w:rPr>
        <w:t>）有串通投标、弄虚作假、行贿等违法行为。</w:t>
      </w:r>
    </w:p>
    <w:p>
      <w:pPr>
        <w:pStyle w:val="70"/>
        <w:ind w:firstLine="560"/>
      </w:pPr>
      <w:r>
        <w:t>3.1.3</w:t>
      </w:r>
      <w:r>
        <w:rPr>
          <w:rFonts w:hint="eastAsia"/>
        </w:rPr>
        <w:t>投标报价有算术错误及其他错误的，评标委员会按以下原则要求投标人对投标报价进行修正，并要求投标人书面澄清确认。投标人拒不澄清确认的，评标委员会应当否决其投标：</w:t>
      </w:r>
    </w:p>
    <w:p>
      <w:pPr>
        <w:pStyle w:val="70"/>
        <w:ind w:firstLine="560"/>
      </w:pPr>
      <w:r>
        <w:rPr>
          <w:rFonts w:hint="eastAsia"/>
        </w:rPr>
        <w:t>（</w:t>
      </w:r>
      <w:r>
        <w:t>1</w:t>
      </w:r>
      <w:r>
        <w:rPr>
          <w:rFonts w:hint="eastAsia"/>
        </w:rPr>
        <w:t>）投标文件中的大写金额与小写金额不一致的，以大写金额为准；</w:t>
      </w:r>
    </w:p>
    <w:p>
      <w:pPr>
        <w:pStyle w:val="70"/>
        <w:ind w:firstLine="560"/>
      </w:pPr>
      <w:r>
        <w:rPr>
          <w:rFonts w:hint="eastAsia"/>
        </w:rPr>
        <w:t>（</w:t>
      </w:r>
      <w:r>
        <w:t>2</w:t>
      </w:r>
      <w:r>
        <w:rPr>
          <w:rFonts w:hint="eastAsia"/>
        </w:rPr>
        <w:t>）总价金额与单价金额不一致的，以单价金额为准，但单价金额小数点有明显错误的除外。</w:t>
      </w:r>
    </w:p>
    <w:p>
      <w:pPr>
        <w:pStyle w:val="4"/>
        <w:ind w:firstLine="560"/>
      </w:pPr>
      <w:r>
        <w:t>3.2</w:t>
      </w:r>
      <w:r>
        <w:rPr>
          <w:rFonts w:hint="eastAsia"/>
        </w:rPr>
        <w:t>详细评审</w:t>
      </w:r>
    </w:p>
    <w:p>
      <w:pPr>
        <w:pStyle w:val="70"/>
        <w:ind w:firstLine="560"/>
      </w:pPr>
      <w:r>
        <w:t>3.2.1</w:t>
      </w:r>
      <w:r>
        <w:rPr>
          <w:rFonts w:hint="eastAsia"/>
        </w:rPr>
        <w:t>评标委员会按本章第</w:t>
      </w:r>
      <w:r>
        <w:t>2.2</w:t>
      </w:r>
      <w:r>
        <w:rPr>
          <w:rFonts w:hint="eastAsia"/>
        </w:rPr>
        <w:t>款规定的量化因素和分值进行打分，并计算出综合评估得分。</w:t>
      </w:r>
    </w:p>
    <w:p>
      <w:pPr>
        <w:pStyle w:val="70"/>
        <w:ind w:firstLine="560"/>
      </w:pPr>
      <w:r>
        <w:rPr>
          <w:rFonts w:hint="eastAsia"/>
        </w:rPr>
        <w:t>（</w:t>
      </w:r>
      <w:r>
        <w:t>1</w:t>
      </w:r>
      <w:r>
        <w:rPr>
          <w:rFonts w:hint="eastAsia"/>
        </w:rPr>
        <w:t>）按本章第</w:t>
      </w:r>
      <w:r>
        <w:t>2.2.4</w:t>
      </w:r>
      <w:r>
        <w:rPr>
          <w:rFonts w:hint="eastAsia"/>
        </w:rPr>
        <w:t>（</w:t>
      </w:r>
      <w:r>
        <w:t>1</w:t>
      </w:r>
      <w:r>
        <w:rPr>
          <w:rFonts w:hint="eastAsia"/>
        </w:rPr>
        <w:t>）目规定的评审因素和分值对资信业绩部分计算出得分</w:t>
      </w:r>
      <w:r>
        <w:t>A</w:t>
      </w:r>
      <w:r>
        <w:rPr>
          <w:rFonts w:hint="eastAsia"/>
        </w:rPr>
        <w:t>；</w:t>
      </w:r>
    </w:p>
    <w:p>
      <w:pPr>
        <w:pStyle w:val="70"/>
        <w:ind w:firstLine="560"/>
      </w:pPr>
      <w:r>
        <w:rPr>
          <w:rFonts w:hint="eastAsia"/>
        </w:rPr>
        <w:t>（</w:t>
      </w:r>
      <w:r>
        <w:t>2</w:t>
      </w:r>
      <w:r>
        <w:rPr>
          <w:rFonts w:hint="eastAsia"/>
        </w:rPr>
        <w:t>）按本章第</w:t>
      </w:r>
      <w:r>
        <w:t>2.2.4</w:t>
      </w:r>
      <w:r>
        <w:rPr>
          <w:rFonts w:hint="eastAsia"/>
        </w:rPr>
        <w:t>（</w:t>
      </w:r>
      <w:r>
        <w:t>2</w:t>
      </w:r>
      <w:r>
        <w:rPr>
          <w:rFonts w:hint="eastAsia"/>
        </w:rPr>
        <w:t>）目规定的评审因素和分值对咨询服务方案部分计算出得分</w:t>
      </w:r>
      <w:r>
        <w:t>B</w:t>
      </w:r>
      <w:r>
        <w:rPr>
          <w:rFonts w:hint="eastAsia"/>
        </w:rPr>
        <w:t>；</w:t>
      </w:r>
    </w:p>
    <w:p>
      <w:pPr>
        <w:pStyle w:val="70"/>
        <w:ind w:firstLine="560"/>
      </w:pPr>
      <w:r>
        <w:rPr>
          <w:rFonts w:hint="eastAsia"/>
        </w:rPr>
        <w:t>（</w:t>
      </w:r>
      <w:r>
        <w:t>3</w:t>
      </w:r>
      <w:r>
        <w:rPr>
          <w:rFonts w:hint="eastAsia"/>
        </w:rPr>
        <w:t>）按本章第</w:t>
      </w:r>
      <w:r>
        <w:t>2.2.4</w:t>
      </w:r>
      <w:r>
        <w:rPr>
          <w:rFonts w:hint="eastAsia"/>
        </w:rPr>
        <w:t>（</w:t>
      </w:r>
      <w:r>
        <w:t>3</w:t>
      </w:r>
      <w:r>
        <w:rPr>
          <w:rFonts w:hint="eastAsia"/>
        </w:rPr>
        <w:t>）目规定的评审因素和分值对投标报价计算出得分</w:t>
      </w:r>
      <w:r>
        <w:t>C</w:t>
      </w:r>
      <w:r>
        <w:rPr>
          <w:rFonts w:hint="eastAsia"/>
        </w:rPr>
        <w:t>；</w:t>
      </w:r>
    </w:p>
    <w:p>
      <w:pPr>
        <w:pStyle w:val="70"/>
        <w:ind w:firstLine="560"/>
      </w:pPr>
      <w:r>
        <w:rPr>
          <w:rFonts w:hint="eastAsia"/>
        </w:rPr>
        <w:t>（</w:t>
      </w:r>
      <w:r>
        <w:t>4</w:t>
      </w:r>
      <w:r>
        <w:rPr>
          <w:rFonts w:hint="eastAsia"/>
        </w:rPr>
        <w:t>）按本章第</w:t>
      </w:r>
      <w:r>
        <w:t>2.2.4</w:t>
      </w:r>
      <w:r>
        <w:rPr>
          <w:rFonts w:hint="eastAsia"/>
        </w:rPr>
        <w:t>（</w:t>
      </w:r>
      <w:r>
        <w:t>4</w:t>
      </w:r>
      <w:r>
        <w:rPr>
          <w:rFonts w:hint="eastAsia"/>
        </w:rPr>
        <w:t>）目规定的评审因素和分值对其他部分计算出得分</w:t>
      </w:r>
      <w:r>
        <w:t>D</w:t>
      </w:r>
      <w:r>
        <w:rPr>
          <w:rFonts w:hint="eastAsia"/>
        </w:rPr>
        <w:t>。</w:t>
      </w:r>
      <w:r>
        <w:t>3.2.2</w:t>
      </w:r>
      <w:r>
        <w:rPr>
          <w:rFonts w:hint="eastAsia"/>
        </w:rPr>
        <w:t>评分分值计算保留小数点后两位，小数点后第三位</w:t>
      </w:r>
      <w:r>
        <w:t>“</w:t>
      </w:r>
      <w:r>
        <w:rPr>
          <w:rFonts w:hint="eastAsia"/>
        </w:rPr>
        <w:t>四舍五入</w:t>
      </w:r>
      <w:r>
        <w:t>”</w:t>
      </w:r>
      <w:r>
        <w:rPr>
          <w:rFonts w:hint="eastAsia"/>
        </w:rPr>
        <w:t>。</w:t>
      </w:r>
    </w:p>
    <w:p>
      <w:pPr>
        <w:pStyle w:val="70"/>
        <w:ind w:firstLine="560"/>
      </w:pPr>
      <w:r>
        <w:t>3.2.3</w:t>
      </w:r>
      <w:r>
        <w:rPr>
          <w:rFonts w:hint="eastAsia"/>
        </w:rPr>
        <w:t>投标人得分</w:t>
      </w:r>
      <w:r>
        <w:t>=A+B+C+D</w:t>
      </w:r>
      <w:r>
        <w:rPr>
          <w:rFonts w:hint="eastAsia"/>
        </w:rPr>
        <w:t>。</w:t>
      </w:r>
    </w:p>
    <w:p>
      <w:pPr>
        <w:pStyle w:val="70"/>
        <w:ind w:firstLine="560"/>
      </w:pPr>
      <w:r>
        <w:t>3.2.4</w:t>
      </w:r>
      <w:r>
        <w:rPr>
          <w:rFonts w:hint="eastAsia"/>
        </w:rPr>
        <w:t>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pPr>
        <w:pStyle w:val="4"/>
        <w:ind w:firstLine="560"/>
      </w:pPr>
      <w:r>
        <w:t>3.3</w:t>
      </w:r>
      <w:r>
        <w:rPr>
          <w:rFonts w:hint="eastAsia"/>
        </w:rPr>
        <w:t>投标文件的澄清</w:t>
      </w:r>
    </w:p>
    <w:p>
      <w:pPr>
        <w:pStyle w:val="70"/>
        <w:ind w:firstLine="560"/>
      </w:pPr>
      <w:r>
        <w:t>3.3.1</w:t>
      </w:r>
      <w:r>
        <w:rPr>
          <w:rFonts w:hint="eastAsia"/>
        </w:rPr>
        <w:t>在评标过程中，评标委员会可以书面形式要求投标人对投标文件中含义不明确、对同类问题表述不一致或者有明显文字和计算错误的内容作必要的澄清、说明或补正。澄清、说明</w:t>
      </w:r>
    </w:p>
    <w:p>
      <w:pPr>
        <w:pStyle w:val="70"/>
        <w:ind w:firstLine="560"/>
      </w:pPr>
      <w:r>
        <w:rPr>
          <w:rFonts w:hint="eastAsia"/>
        </w:rPr>
        <w:t>或补正应以书面方式进行。评标委员会不接受投标人主动提出的澄清、说明或补正。</w:t>
      </w:r>
    </w:p>
    <w:p>
      <w:pPr>
        <w:pStyle w:val="70"/>
        <w:ind w:firstLine="560"/>
      </w:pPr>
      <w:r>
        <w:t>3.3.2</w:t>
      </w:r>
      <w:r>
        <w:rPr>
          <w:rFonts w:hint="eastAsia"/>
        </w:rPr>
        <w:t>澄清、说明或补正不得超出投标文件的范围且不得改变投标文件的实质性内容，并构成投标文件的组成部分。</w:t>
      </w:r>
    </w:p>
    <w:p>
      <w:pPr>
        <w:pStyle w:val="70"/>
        <w:ind w:firstLine="560"/>
      </w:pPr>
      <w:r>
        <w:t>3.3.3</w:t>
      </w:r>
      <w:r>
        <w:rPr>
          <w:rFonts w:hint="eastAsia"/>
        </w:rPr>
        <w:t>评标委员会对投标人提交的澄清、说明或补正有疑问的，可以要求投标人进一步澄清、说明或补正，直至满足评标委员会的要求。</w:t>
      </w:r>
    </w:p>
    <w:p>
      <w:pPr>
        <w:pStyle w:val="4"/>
        <w:ind w:firstLine="560"/>
      </w:pPr>
      <w:r>
        <w:t>3.4</w:t>
      </w:r>
      <w:r>
        <w:rPr>
          <w:rFonts w:hint="eastAsia"/>
        </w:rPr>
        <w:t>评标结果</w:t>
      </w:r>
    </w:p>
    <w:p>
      <w:pPr>
        <w:pStyle w:val="70"/>
        <w:ind w:firstLine="560"/>
      </w:pPr>
      <w:r>
        <w:t>3.4.1</w:t>
      </w:r>
      <w:r>
        <w:rPr>
          <w:rFonts w:hint="eastAsia"/>
        </w:rPr>
        <w:t>除第二章</w:t>
      </w:r>
      <w:r>
        <w:t>“</w:t>
      </w:r>
      <w:r>
        <w:rPr>
          <w:rFonts w:hint="eastAsia"/>
        </w:rPr>
        <w:t>投标人须知</w:t>
      </w:r>
      <w:r>
        <w:t>”</w:t>
      </w:r>
      <w:r>
        <w:rPr>
          <w:rFonts w:hint="eastAsia"/>
        </w:rPr>
        <w:t>前附表授权直接确定中标人外，评标委员会按照得分由高到低的顺序推荐中标候选人，并标明排序。</w:t>
      </w:r>
    </w:p>
    <w:p>
      <w:pPr>
        <w:pStyle w:val="70"/>
        <w:ind w:firstLine="560"/>
      </w:pPr>
      <w:r>
        <w:t>3.4.2</w:t>
      </w:r>
      <w:r>
        <w:rPr>
          <w:rFonts w:hint="eastAsia"/>
        </w:rPr>
        <w:t>评标委员会完成评标后，应当向招标人提交书面评标报告和中标候选人名单。</w:t>
      </w:r>
    </w:p>
    <w:p>
      <w:pPr>
        <w:topLinePunct w:val="1"/>
        <w:snapToGrid w:val="0"/>
        <w:spacing w:before="0" w:after="0" w:line="240" w:lineRule="auto"/>
        <w:ind w:firstLine="480" w:firstLineChars="200"/>
        <w:textAlignment w:val="center"/>
        <w:rPr>
          <w:rFonts w:ascii="Times New Roman" w:hAnsi="Times New Roman" w:eastAsia="宋体"/>
          <w:sz w:val="24"/>
          <w:szCs w:val="24"/>
        </w:rPr>
      </w:pPr>
    </w:p>
    <w:p>
      <w:pPr>
        <w:pStyle w:val="2"/>
        <w:sectPr>
          <w:pgSz w:w="11907" w:h="16840"/>
          <w:pgMar w:top="1440" w:right="1440" w:bottom="1440" w:left="1440" w:header="851" w:footer="992" w:gutter="0"/>
          <w:cols w:space="720" w:num="1"/>
          <w:docGrid w:linePitch="326" w:charSpace="0"/>
        </w:sectPr>
      </w:pPr>
    </w:p>
    <w:p>
      <w:pPr>
        <w:pStyle w:val="2"/>
      </w:pPr>
      <w:bookmarkStart w:id="223" w:name="_Toc45613985"/>
      <w:bookmarkStart w:id="224" w:name="_Toc9773"/>
      <w:bookmarkStart w:id="225" w:name="_Toc1631"/>
      <w:bookmarkStart w:id="226" w:name="_Toc23025"/>
      <w:r>
        <w:rPr>
          <w:rFonts w:hint="eastAsia"/>
        </w:rPr>
        <w:t>第四章  合同条款及格式</w:t>
      </w:r>
      <w:bookmarkEnd w:id="223"/>
      <w:bookmarkEnd w:id="224"/>
      <w:bookmarkEnd w:id="225"/>
      <w:bookmarkEnd w:id="226"/>
    </w:p>
    <w:p>
      <w:pPr>
        <w:pStyle w:val="7"/>
        <w:tabs>
          <w:tab w:val="left" w:pos="1119"/>
        </w:tabs>
        <w:spacing w:before="312"/>
        <w:ind w:right="12"/>
      </w:pPr>
      <w:r>
        <w:rPr>
          <w:rFonts w:hint="eastAsia"/>
        </w:rPr>
        <w:t>第一节</w:t>
      </w:r>
      <w:r>
        <w:rPr>
          <w:rFonts w:hint="eastAsia"/>
        </w:rPr>
        <w:tab/>
      </w:r>
      <w:r>
        <w:rPr>
          <w:rFonts w:hint="eastAsia"/>
        </w:rPr>
        <w:t>合同协议书</w:t>
      </w:r>
    </w:p>
    <w:p>
      <w:pPr>
        <w:rPr>
          <w:rFonts w:ascii="Times New Roman" w:hAnsi="Times New Roman" w:eastAsia="宋体"/>
        </w:rPr>
      </w:pPr>
    </w:p>
    <w:p>
      <w:pPr>
        <w:snapToGrid w:val="0"/>
        <w:spacing w:line="360" w:lineRule="auto"/>
        <w:jc w:val="center"/>
        <w:rPr>
          <w:rFonts w:ascii="黑体" w:hAnsi="黑体" w:eastAsia="黑体"/>
          <w:b/>
          <w:sz w:val="44"/>
          <w:szCs w:val="44"/>
        </w:rPr>
      </w:pPr>
      <w:r>
        <w:rPr>
          <w:rFonts w:hint="eastAsia" w:ascii="黑体" w:hAnsi="黑体" w:eastAsia="黑体"/>
          <w:b/>
          <w:sz w:val="44"/>
          <w:szCs w:val="44"/>
        </w:rPr>
        <w:t>金沙江金沙</w:t>
      </w:r>
      <w:r>
        <w:rPr>
          <w:rFonts w:ascii="黑体" w:hAnsi="黑体" w:eastAsia="黑体"/>
          <w:b/>
          <w:sz w:val="44"/>
          <w:szCs w:val="44"/>
        </w:rPr>
        <w:t>水电站</w:t>
      </w:r>
    </w:p>
    <w:p>
      <w:pPr>
        <w:spacing w:line="360" w:lineRule="auto"/>
        <w:jc w:val="center"/>
        <w:rPr>
          <w:rFonts w:ascii="黑体" w:hAnsi="黑体" w:eastAsia="黑体"/>
          <w:sz w:val="44"/>
          <w:szCs w:val="44"/>
        </w:rPr>
      </w:pPr>
      <w:bookmarkStart w:id="227" w:name="_Hlk45634841"/>
      <w:r>
        <w:rPr>
          <w:rFonts w:hint="eastAsia" w:ascii="黑体" w:hAnsi="黑体" w:eastAsia="黑体"/>
          <w:sz w:val="44"/>
          <w:szCs w:val="44"/>
        </w:rPr>
        <w:t>蓄水对周边煤矿影响区域矿井突水灾害隐患治理工程质量检测</w:t>
      </w:r>
      <w:bookmarkEnd w:id="227"/>
      <w:r>
        <w:rPr>
          <w:rFonts w:hint="eastAsia" w:ascii="黑体" w:hAnsi="黑体" w:eastAsia="黑体"/>
          <w:sz w:val="44"/>
          <w:szCs w:val="44"/>
        </w:rPr>
        <w:t>服务</w:t>
      </w:r>
    </w:p>
    <w:p>
      <w:pPr>
        <w:snapToGrid w:val="0"/>
        <w:spacing w:line="360" w:lineRule="auto"/>
        <w:jc w:val="center"/>
        <w:rPr>
          <w:rFonts w:ascii="Times New Roman" w:hAnsi="Times New Roman" w:eastAsia="宋体"/>
          <w:b/>
          <w:bCs/>
          <w:sz w:val="44"/>
          <w:szCs w:val="44"/>
        </w:rPr>
      </w:pPr>
      <w:r>
        <w:rPr>
          <w:rFonts w:hint="eastAsia" w:ascii="黑体" w:hAnsi="黑体" w:eastAsia="黑体"/>
          <w:b/>
          <w:bCs/>
          <w:sz w:val="44"/>
          <w:szCs w:val="44"/>
        </w:rPr>
        <w:t>合同协议书</w:t>
      </w:r>
    </w:p>
    <w:p>
      <w:pPr>
        <w:pStyle w:val="4"/>
        <w:ind w:firstLine="560"/>
        <w:jc w:val="center"/>
      </w:pPr>
      <w:r>
        <w:t>合同编号：</w:t>
      </w:r>
    </w:p>
    <w:p>
      <w:pPr>
        <w:pStyle w:val="13"/>
        <w:tabs>
          <w:tab w:val="left" w:pos="0"/>
        </w:tabs>
        <w:rPr>
          <w:rFonts w:ascii="Times New Roman" w:hAnsi="Times New Roman" w:eastAsia="宋体"/>
          <w:sz w:val="40"/>
        </w:rPr>
      </w:pPr>
    </w:p>
    <w:p>
      <w:pPr>
        <w:pStyle w:val="13"/>
        <w:tabs>
          <w:tab w:val="left" w:pos="0"/>
        </w:tabs>
        <w:rPr>
          <w:rFonts w:ascii="Times New Roman" w:hAnsi="Times New Roman" w:eastAsia="宋体"/>
          <w:sz w:val="40"/>
        </w:rPr>
      </w:pPr>
    </w:p>
    <w:p>
      <w:pPr>
        <w:pStyle w:val="13"/>
        <w:tabs>
          <w:tab w:val="left" w:pos="0"/>
        </w:tabs>
        <w:rPr>
          <w:rFonts w:ascii="Times New Roman" w:hAnsi="Times New Roman" w:eastAsia="宋体"/>
          <w:sz w:val="40"/>
        </w:rPr>
      </w:pPr>
    </w:p>
    <w:p>
      <w:pPr>
        <w:pStyle w:val="5"/>
        <w:ind w:left="1680" w:leftChars="800"/>
      </w:pPr>
      <w:r>
        <w:t>甲方：</w:t>
      </w:r>
      <w:r>
        <w:rPr>
          <w:rFonts w:hint="eastAsia"/>
        </w:rPr>
        <w:t>四川省能投攀枝花水电开发有限公司</w:t>
      </w:r>
    </w:p>
    <w:p>
      <w:pPr>
        <w:pStyle w:val="5"/>
        <w:ind w:left="1680" w:leftChars="800"/>
      </w:pPr>
      <w:r>
        <w:t>乙方：</w:t>
      </w:r>
    </w:p>
    <w:p>
      <w:pPr>
        <w:pStyle w:val="5"/>
        <w:ind w:left="1680" w:leftChars="800"/>
      </w:pPr>
      <w:r>
        <w:rPr>
          <w:rFonts w:hint="eastAsia"/>
        </w:rPr>
        <w:t xml:space="preserve">日期：2020年 </w:t>
      </w:r>
      <w:r>
        <w:t xml:space="preserve">   </w:t>
      </w:r>
      <w:r>
        <w:rPr>
          <w:rFonts w:hint="eastAsia"/>
        </w:rPr>
        <w:t xml:space="preserve">月 </w:t>
      </w:r>
    </w:p>
    <w:p>
      <w:pPr>
        <w:pStyle w:val="13"/>
        <w:tabs>
          <w:tab w:val="left" w:pos="0"/>
        </w:tabs>
        <w:spacing w:before="8"/>
        <w:rPr>
          <w:rFonts w:ascii="Times New Roman" w:hAnsi="Times New Roman" w:eastAsia="宋体"/>
          <w:b/>
          <w:sz w:val="32"/>
          <w:szCs w:val="32"/>
        </w:rPr>
      </w:pPr>
    </w:p>
    <w:p>
      <w:pPr>
        <w:pStyle w:val="6"/>
        <w:tabs>
          <w:tab w:val="left" w:pos="1499"/>
        </w:tabs>
        <w:spacing w:before="0" w:line="383" w:lineRule="exact"/>
        <w:ind w:right="11"/>
        <w:jc w:val="center"/>
        <w:rPr>
          <w:rFonts w:ascii="Times New Roman" w:hAnsi="Times New Roman"/>
          <w:sz w:val="30"/>
          <w:szCs w:val="30"/>
        </w:rPr>
      </w:pPr>
      <w:r>
        <w:rPr>
          <w:rFonts w:ascii="Times New Roman" w:hAnsi="Times New Roman"/>
          <w:sz w:val="30"/>
          <w:szCs w:val="30"/>
        </w:rPr>
        <w:t>第一部分</w:t>
      </w:r>
      <w:r>
        <w:rPr>
          <w:rFonts w:ascii="Times New Roman" w:hAnsi="Times New Roman"/>
          <w:sz w:val="30"/>
          <w:szCs w:val="30"/>
        </w:rPr>
        <w:tab/>
      </w:r>
      <w:r>
        <w:rPr>
          <w:rFonts w:ascii="Times New Roman" w:hAnsi="Times New Roman"/>
          <w:sz w:val="30"/>
          <w:szCs w:val="30"/>
        </w:rPr>
        <w:t>技术服务合同书</w:t>
      </w:r>
    </w:p>
    <w:p>
      <w:pPr>
        <w:pStyle w:val="8"/>
        <w:spacing w:before="0" w:line="357" w:lineRule="auto"/>
        <w:ind w:left="1131" w:right="1142"/>
        <w:jc w:val="center"/>
        <w:rPr>
          <w:rFonts w:ascii="Times New Roman" w:hAnsi="Times New Roman"/>
          <w:b/>
          <w:spacing w:val="1"/>
          <w:w w:val="99"/>
          <w:sz w:val="28"/>
          <w:szCs w:val="28"/>
        </w:rPr>
      </w:pPr>
      <w:bookmarkStart w:id="228" w:name="_Hlk45633183"/>
      <w:r>
        <w:rPr>
          <w:rFonts w:hint="eastAsia" w:ascii="Times New Roman" w:hAnsi="Times New Roman"/>
          <w:b/>
          <w:spacing w:val="1"/>
          <w:w w:val="99"/>
          <w:sz w:val="28"/>
          <w:szCs w:val="28"/>
        </w:rPr>
        <w:t>金沙水电站蓄水对周边煤矿影响区域矿井突水灾害隐患治理工程质量检测服务</w:t>
      </w:r>
      <w:bookmarkEnd w:id="228"/>
    </w:p>
    <w:p>
      <w:pPr>
        <w:pStyle w:val="8"/>
        <w:spacing w:before="0" w:line="357" w:lineRule="auto"/>
        <w:ind w:left="1131" w:right="1142"/>
        <w:jc w:val="center"/>
        <w:rPr>
          <w:rFonts w:ascii="Times New Roman" w:hAnsi="Times New Roman"/>
          <w:b/>
          <w:sz w:val="28"/>
          <w:szCs w:val="28"/>
        </w:rPr>
      </w:pPr>
      <w:r>
        <w:rPr>
          <w:rFonts w:ascii="Times New Roman" w:hAnsi="Times New Roman"/>
          <w:b/>
          <w:spacing w:val="1"/>
          <w:w w:val="99"/>
          <w:sz w:val="28"/>
          <w:szCs w:val="28"/>
        </w:rPr>
        <w:t>合同</w:t>
      </w:r>
      <w:r>
        <w:rPr>
          <w:rFonts w:hint="eastAsia" w:ascii="Times New Roman" w:hAnsi="Times New Roman"/>
          <w:b/>
          <w:spacing w:val="1"/>
          <w:w w:val="99"/>
          <w:sz w:val="28"/>
          <w:szCs w:val="28"/>
        </w:rPr>
        <w:t>协议书</w:t>
      </w:r>
    </w:p>
    <w:p>
      <w:pPr>
        <w:pStyle w:val="13"/>
        <w:tabs>
          <w:tab w:val="left" w:pos="0"/>
          <w:tab w:val="left" w:pos="3544"/>
          <w:tab w:val="left" w:pos="3686"/>
        </w:tabs>
        <w:spacing w:line="360" w:lineRule="auto"/>
        <w:ind w:firstLine="560" w:firstLineChars="200"/>
        <w:jc w:val="both"/>
        <w:rPr>
          <w:rFonts w:ascii="Times New Roman" w:hAnsi="Times New Roman" w:eastAsia="宋体"/>
          <w:szCs w:val="28"/>
        </w:rPr>
      </w:pPr>
    </w:p>
    <w:p>
      <w:pPr>
        <w:pStyle w:val="13"/>
        <w:tabs>
          <w:tab w:val="left" w:pos="0"/>
          <w:tab w:val="left" w:pos="3544"/>
          <w:tab w:val="left" w:pos="3686"/>
        </w:tabs>
        <w:spacing w:line="360" w:lineRule="auto"/>
        <w:ind w:firstLine="560" w:firstLineChars="200"/>
        <w:jc w:val="both"/>
        <w:rPr>
          <w:rFonts w:ascii="Times New Roman" w:hAnsi="Times New Roman" w:eastAsia="宋体"/>
          <w:szCs w:val="28"/>
          <w:u w:val="single"/>
        </w:rPr>
      </w:pPr>
      <w:r>
        <w:rPr>
          <w:rFonts w:ascii="Times New Roman" w:hAnsi="Times New Roman" w:eastAsia="宋体"/>
          <w:szCs w:val="28"/>
        </w:rPr>
        <w:t>甲方：</w:t>
      </w:r>
      <w:r>
        <w:rPr>
          <w:rFonts w:ascii="Times New Roman" w:hAnsi="Times New Roman" w:eastAsia="宋体"/>
          <w:szCs w:val="28"/>
          <w:u w:val="single"/>
        </w:rPr>
        <w:t xml:space="preserve">四川省能投攀枝花水电开发有限公司 </w:t>
      </w:r>
    </w:p>
    <w:p>
      <w:pPr>
        <w:pStyle w:val="13"/>
        <w:tabs>
          <w:tab w:val="left" w:pos="0"/>
          <w:tab w:val="left" w:pos="498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乙方：</w:t>
      </w:r>
      <w:r>
        <w:rPr>
          <w:rFonts w:ascii="Times New Roman" w:hAnsi="Times New Roman" w:eastAsia="宋体"/>
          <w:szCs w:val="28"/>
          <w:u w:val="single"/>
        </w:rPr>
        <w:t xml:space="preserve"> </w:t>
      </w:r>
      <w:r>
        <w:rPr>
          <w:rFonts w:ascii="Times New Roman" w:hAnsi="Times New Roman" w:eastAsia="宋体"/>
          <w:szCs w:val="28"/>
          <w:u w:val="single"/>
        </w:rPr>
        <w:tab/>
      </w:r>
    </w:p>
    <w:p>
      <w:pPr>
        <w:tabs>
          <w:tab w:val="left" w:pos="0"/>
        </w:tabs>
        <w:spacing w:before="0" w:after="0"/>
        <w:ind w:firstLine="560" w:firstLineChars="200"/>
        <w:jc w:val="left"/>
        <w:rPr>
          <w:rFonts w:ascii="Times New Roman" w:hAnsi="Times New Roman" w:eastAsia="宋体"/>
          <w:sz w:val="28"/>
          <w:szCs w:val="28"/>
        </w:rPr>
      </w:pPr>
      <w:r>
        <w:rPr>
          <w:rFonts w:ascii="Times New Roman" w:hAnsi="Times New Roman" w:eastAsia="宋体"/>
          <w:sz w:val="28"/>
          <w:szCs w:val="28"/>
        </w:rPr>
        <w:t>依</w:t>
      </w:r>
      <w:r>
        <w:rPr>
          <w:rFonts w:ascii="Times New Roman" w:hAnsi="Times New Roman" w:eastAsia="宋体"/>
          <w:spacing w:val="-4"/>
          <w:sz w:val="28"/>
          <w:szCs w:val="28"/>
        </w:rPr>
        <w:t>据</w:t>
      </w:r>
      <w:r>
        <w:rPr>
          <w:rFonts w:ascii="Times New Roman" w:hAnsi="Times New Roman" w:eastAsia="宋体"/>
          <w:sz w:val="28"/>
          <w:szCs w:val="28"/>
        </w:rPr>
        <w:t>《中华人民共和国合同法</w:t>
      </w:r>
      <w:r>
        <w:rPr>
          <w:rFonts w:ascii="Times New Roman" w:hAnsi="Times New Roman" w:eastAsia="宋体"/>
          <w:spacing w:val="-105"/>
          <w:sz w:val="28"/>
          <w:szCs w:val="28"/>
        </w:rPr>
        <w:t>》</w:t>
      </w:r>
      <w:r>
        <w:rPr>
          <w:rFonts w:ascii="Times New Roman" w:hAnsi="Times New Roman" w:eastAsia="宋体"/>
          <w:spacing w:val="-108"/>
          <w:sz w:val="28"/>
          <w:szCs w:val="28"/>
        </w:rPr>
        <w:t>、</w:t>
      </w:r>
      <w:r>
        <w:rPr>
          <w:rFonts w:ascii="Times New Roman" w:hAnsi="Times New Roman" w:eastAsia="宋体"/>
          <w:spacing w:val="-2"/>
          <w:sz w:val="28"/>
          <w:szCs w:val="28"/>
        </w:rPr>
        <w:t>《</w:t>
      </w:r>
      <w:r>
        <w:rPr>
          <w:rFonts w:ascii="Times New Roman" w:hAnsi="Times New Roman" w:eastAsia="宋体"/>
          <w:sz w:val="28"/>
          <w:szCs w:val="28"/>
        </w:rPr>
        <w:t>中华人民共和国建筑法</w:t>
      </w:r>
      <w:r>
        <w:rPr>
          <w:rFonts w:ascii="Times New Roman" w:hAnsi="Times New Roman" w:eastAsia="宋体"/>
          <w:spacing w:val="-4"/>
          <w:sz w:val="28"/>
          <w:szCs w:val="28"/>
        </w:rPr>
        <w:t>》</w:t>
      </w:r>
      <w:r>
        <w:rPr>
          <w:rFonts w:ascii="Times New Roman" w:hAnsi="Times New Roman" w:eastAsia="宋体"/>
          <w:sz w:val="28"/>
          <w:szCs w:val="28"/>
        </w:rPr>
        <w:t>及其他有关法律</w:t>
      </w:r>
      <w:r>
        <w:rPr>
          <w:rFonts w:ascii="Times New Roman" w:hAnsi="Times New Roman" w:eastAsia="宋体"/>
          <w:spacing w:val="-4"/>
          <w:sz w:val="28"/>
          <w:szCs w:val="28"/>
        </w:rPr>
        <w:t>、</w:t>
      </w:r>
      <w:r>
        <w:rPr>
          <w:rFonts w:ascii="Times New Roman" w:hAnsi="Times New Roman" w:eastAsia="宋体"/>
          <w:sz w:val="28"/>
          <w:szCs w:val="28"/>
        </w:rPr>
        <w:t>行政法规</w:t>
      </w:r>
      <w:r>
        <w:rPr>
          <w:rFonts w:ascii="Times New Roman" w:hAnsi="Times New Roman" w:eastAsia="宋体"/>
          <w:spacing w:val="-4"/>
          <w:sz w:val="28"/>
          <w:szCs w:val="28"/>
        </w:rPr>
        <w:t>，</w:t>
      </w:r>
      <w:r>
        <w:rPr>
          <w:rFonts w:ascii="Times New Roman" w:hAnsi="Times New Roman" w:eastAsia="宋体"/>
          <w:spacing w:val="1"/>
          <w:sz w:val="28"/>
          <w:szCs w:val="28"/>
        </w:rPr>
        <w:t>遵</w:t>
      </w:r>
      <w:r>
        <w:rPr>
          <w:rFonts w:ascii="Times New Roman" w:hAnsi="Times New Roman" w:eastAsia="宋体"/>
          <w:sz w:val="28"/>
          <w:szCs w:val="28"/>
        </w:rPr>
        <w:t>循平等</w:t>
      </w:r>
      <w:r>
        <w:rPr>
          <w:rFonts w:ascii="Times New Roman" w:hAnsi="Times New Roman" w:eastAsia="宋体"/>
          <w:spacing w:val="-5"/>
          <w:sz w:val="28"/>
          <w:szCs w:val="28"/>
        </w:rPr>
        <w:t>、</w:t>
      </w:r>
      <w:r>
        <w:rPr>
          <w:rFonts w:ascii="Times New Roman" w:hAnsi="Times New Roman" w:eastAsia="宋体"/>
          <w:sz w:val="28"/>
          <w:szCs w:val="28"/>
        </w:rPr>
        <w:t>自愿</w:t>
      </w:r>
      <w:r>
        <w:rPr>
          <w:rFonts w:ascii="Times New Roman" w:hAnsi="Times New Roman" w:eastAsia="宋体"/>
          <w:spacing w:val="-5"/>
          <w:sz w:val="28"/>
          <w:szCs w:val="28"/>
        </w:rPr>
        <w:t>、</w:t>
      </w:r>
      <w:r>
        <w:rPr>
          <w:rFonts w:ascii="Times New Roman" w:hAnsi="Times New Roman" w:eastAsia="宋体"/>
          <w:sz w:val="28"/>
          <w:szCs w:val="28"/>
        </w:rPr>
        <w:t>公平和诚实信用的原则</w:t>
      </w:r>
      <w:r>
        <w:rPr>
          <w:rFonts w:ascii="Times New Roman" w:hAnsi="Times New Roman" w:eastAsia="宋体"/>
          <w:spacing w:val="-5"/>
          <w:sz w:val="28"/>
          <w:szCs w:val="28"/>
        </w:rPr>
        <w:t>，</w:t>
      </w:r>
      <w:r>
        <w:rPr>
          <w:rFonts w:ascii="Times New Roman" w:hAnsi="Times New Roman" w:eastAsia="宋体"/>
          <w:sz w:val="28"/>
          <w:szCs w:val="28"/>
        </w:rPr>
        <w:t>甲方委托乙方承担</w:t>
      </w:r>
      <w:r>
        <w:rPr>
          <w:rFonts w:hint="eastAsia" w:ascii="Times New Roman" w:hAnsi="Times New Roman" w:eastAsia="宋体"/>
          <w:kern w:val="0"/>
          <w:sz w:val="28"/>
          <w:szCs w:val="28"/>
          <w:u w:val="single"/>
        </w:rPr>
        <w:t>金沙水电站蓄水对周边煤矿影响区域矿井突水灾害隐患治理工程质量检测服务</w:t>
      </w:r>
      <w:r>
        <w:rPr>
          <w:rFonts w:ascii="Times New Roman" w:hAnsi="Times New Roman" w:eastAsia="宋体"/>
          <w:sz w:val="28"/>
          <w:szCs w:val="28"/>
        </w:rPr>
        <w:t>工作</w:t>
      </w:r>
      <w:r>
        <w:rPr>
          <w:rFonts w:ascii="Times New Roman" w:hAnsi="Times New Roman" w:eastAsia="宋体"/>
          <w:spacing w:val="-4"/>
          <w:sz w:val="28"/>
          <w:szCs w:val="28"/>
        </w:rPr>
        <w:t>。</w:t>
      </w:r>
      <w:r>
        <w:rPr>
          <w:rFonts w:ascii="Times New Roman" w:hAnsi="Times New Roman" w:eastAsia="宋体"/>
          <w:sz w:val="28"/>
          <w:szCs w:val="28"/>
        </w:rPr>
        <w:t>经双方协商同意签订本合同</w:t>
      </w:r>
      <w:r>
        <w:rPr>
          <w:rFonts w:ascii="Times New Roman" w:hAnsi="Times New Roman" w:eastAsia="宋体"/>
          <w:spacing w:val="-4"/>
          <w:sz w:val="28"/>
          <w:szCs w:val="28"/>
        </w:rPr>
        <w:t>，</w:t>
      </w:r>
      <w:r>
        <w:rPr>
          <w:rFonts w:ascii="Times New Roman" w:hAnsi="Times New Roman" w:eastAsia="宋体"/>
          <w:sz w:val="28"/>
          <w:szCs w:val="28"/>
        </w:rPr>
        <w:t>以明确各方的责任和义务，并共同遵守。</w:t>
      </w:r>
    </w:p>
    <w:p>
      <w:pPr>
        <w:pStyle w:val="8"/>
        <w:spacing w:before="0" w:after="0" w:line="360" w:lineRule="auto"/>
        <w:ind w:firstLine="562" w:firstLineChars="200"/>
        <w:rPr>
          <w:rFonts w:ascii="Times New Roman" w:hAnsi="Times New Roman"/>
          <w:b/>
          <w:sz w:val="28"/>
          <w:szCs w:val="28"/>
        </w:rPr>
      </w:pPr>
      <w:r>
        <w:rPr>
          <w:rFonts w:ascii="Times New Roman" w:hAnsi="Times New Roman"/>
          <w:b/>
          <w:sz w:val="28"/>
          <w:szCs w:val="28"/>
        </w:rPr>
        <w:t>一、项目概况</w:t>
      </w:r>
    </w:p>
    <w:p>
      <w:pPr>
        <w:pStyle w:val="13"/>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1.1 工作地点：四川省攀枝花市。</w:t>
      </w:r>
    </w:p>
    <w:p>
      <w:pPr>
        <w:pStyle w:val="13"/>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1.2 服务范围：</w:t>
      </w:r>
      <w:r>
        <w:rPr>
          <w:rFonts w:hint="eastAsia" w:ascii="Times New Roman" w:hAnsi="Times New Roman" w:eastAsia="宋体"/>
          <w:szCs w:val="28"/>
        </w:rPr>
        <w:t>开展金沙水电站蓄水对周边煤矿影响区域矿井突水灾害隐患治理工程质量检测及检测报告编制</w:t>
      </w:r>
      <w:r>
        <w:rPr>
          <w:rFonts w:ascii="Times New Roman" w:hAnsi="Times New Roman" w:eastAsia="宋体"/>
          <w:szCs w:val="28"/>
        </w:rPr>
        <w:t>，</w:t>
      </w:r>
      <w:r>
        <w:rPr>
          <w:rFonts w:hint="eastAsia" w:ascii="Times New Roman" w:hAnsi="Times New Roman" w:eastAsia="宋体"/>
          <w:szCs w:val="28"/>
        </w:rPr>
        <w:t>组织报告评审，并取得对报告批复（备案）</w:t>
      </w:r>
      <w:r>
        <w:rPr>
          <w:rFonts w:ascii="Times New Roman" w:hAnsi="Times New Roman" w:eastAsia="宋体"/>
          <w:szCs w:val="28"/>
          <w:lang w:bidi="en-US"/>
        </w:rPr>
        <w:t>。</w:t>
      </w:r>
    </w:p>
    <w:p>
      <w:pPr>
        <w:pStyle w:val="8"/>
        <w:spacing w:before="0" w:after="0" w:line="360" w:lineRule="auto"/>
        <w:ind w:firstLine="562" w:firstLineChars="200"/>
        <w:rPr>
          <w:rFonts w:ascii="Times New Roman" w:hAnsi="Times New Roman"/>
          <w:b/>
          <w:sz w:val="28"/>
          <w:szCs w:val="28"/>
        </w:rPr>
      </w:pPr>
      <w:r>
        <w:rPr>
          <w:rFonts w:ascii="Times New Roman" w:hAnsi="Times New Roman"/>
          <w:b/>
          <w:sz w:val="28"/>
          <w:szCs w:val="28"/>
        </w:rPr>
        <w:t>二、工作内容</w:t>
      </w:r>
    </w:p>
    <w:p>
      <w:pPr>
        <w:spacing w:before="0" w:after="0" w:line="360" w:lineRule="auto"/>
        <w:ind w:firstLine="560" w:firstLineChars="200"/>
        <w:rPr>
          <w:rFonts w:ascii="Times New Roman" w:hAnsi="Times New Roman" w:eastAsia="宋体"/>
          <w:snapToGrid w:val="0"/>
          <w:kern w:val="0"/>
          <w:sz w:val="28"/>
          <w:szCs w:val="28"/>
        </w:rPr>
      </w:pPr>
      <w:r>
        <w:rPr>
          <w:rFonts w:hint="eastAsia" w:ascii="Times New Roman" w:hAnsi="Times New Roman" w:eastAsia="宋体"/>
          <w:snapToGrid w:val="0"/>
          <w:kern w:val="0"/>
          <w:sz w:val="28"/>
          <w:szCs w:val="28"/>
        </w:rPr>
        <w:t>2.1</w:t>
      </w:r>
      <w:bookmarkStart w:id="229" w:name="_Hlk45634369"/>
      <w:r>
        <w:rPr>
          <w:rFonts w:hint="eastAsia" w:ascii="Times New Roman" w:hAnsi="Times New Roman" w:eastAsia="宋体"/>
          <w:snapToGrid w:val="0"/>
          <w:kern w:val="0"/>
          <w:sz w:val="28"/>
          <w:szCs w:val="28"/>
        </w:rPr>
        <w:t>进行金沙水电站蓄水对周边煤矿影响区域矿井突水灾害隐患治理工程质量检测报告编制，报告内容及深度满足国家及行业现行规程、规范及技术标准要求。</w:t>
      </w:r>
    </w:p>
    <w:p>
      <w:pPr>
        <w:spacing w:before="0" w:after="0" w:line="360" w:lineRule="auto"/>
        <w:ind w:firstLine="560" w:firstLineChars="200"/>
        <w:rPr>
          <w:rFonts w:ascii="Times New Roman" w:hAnsi="Times New Roman" w:eastAsia="宋体"/>
          <w:snapToGrid w:val="0"/>
          <w:kern w:val="0"/>
          <w:sz w:val="28"/>
          <w:szCs w:val="28"/>
        </w:rPr>
      </w:pPr>
      <w:r>
        <w:rPr>
          <w:rFonts w:hint="eastAsia" w:ascii="Times New Roman" w:hAnsi="Times New Roman" w:eastAsia="宋体"/>
          <w:snapToGrid w:val="0"/>
          <w:kern w:val="0"/>
          <w:sz w:val="28"/>
          <w:szCs w:val="28"/>
        </w:rPr>
        <w:t>2.2负责安排及委托报告涉及的主管部门对检测报告进行评审，直至获得攀枝花市相关主管部门或项目所涉及西区、仁和区相关主管部门对本报告的批复（备案）意见，并符合验收相关要求。</w:t>
      </w:r>
      <w:bookmarkEnd w:id="229"/>
    </w:p>
    <w:p>
      <w:pPr>
        <w:pStyle w:val="13"/>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2.</w:t>
      </w:r>
      <w:r>
        <w:rPr>
          <w:rFonts w:hint="eastAsia" w:ascii="Times New Roman" w:hAnsi="Times New Roman" w:eastAsia="宋体"/>
          <w:szCs w:val="28"/>
        </w:rPr>
        <w:t>3</w:t>
      </w:r>
      <w:r>
        <w:rPr>
          <w:rFonts w:ascii="Times New Roman" w:hAnsi="Times New Roman" w:eastAsia="宋体"/>
          <w:szCs w:val="28"/>
        </w:rPr>
        <w:t xml:space="preserve"> 工期</w:t>
      </w:r>
    </w:p>
    <w:p>
      <w:pPr>
        <w:spacing w:line="360" w:lineRule="auto"/>
        <w:ind w:firstLine="560" w:firstLineChars="200"/>
        <w:rPr>
          <w:rFonts w:ascii="Times New Roman" w:hAnsi="Times New Roman" w:eastAsia="宋体"/>
          <w:sz w:val="28"/>
          <w:szCs w:val="28"/>
          <w:lang w:bidi="en-US"/>
        </w:rPr>
      </w:pPr>
      <w:r>
        <w:rPr>
          <w:rFonts w:ascii="Times New Roman" w:hAnsi="Times New Roman" w:eastAsia="宋体"/>
          <w:sz w:val="28"/>
          <w:szCs w:val="28"/>
        </w:rPr>
        <w:t>合同签订之日起至</w:t>
      </w:r>
      <w:r>
        <w:rPr>
          <w:rFonts w:hint="eastAsia" w:ascii="Times New Roman" w:hAnsi="Times New Roman" w:eastAsia="宋体"/>
          <w:sz w:val="28"/>
          <w:szCs w:val="28"/>
        </w:rPr>
        <w:t>金沙水电站蓄水对周边煤矿影响区域矿井突水灾害隐患治理工程质量检测报告</w:t>
      </w:r>
      <w:r>
        <w:rPr>
          <w:rFonts w:ascii="Times New Roman" w:hAnsi="Times New Roman" w:eastAsia="宋体"/>
          <w:sz w:val="28"/>
          <w:szCs w:val="28"/>
        </w:rPr>
        <w:t>阶段</w:t>
      </w:r>
      <w:r>
        <w:rPr>
          <w:rFonts w:hint="eastAsia" w:ascii="Times New Roman" w:hAnsi="Times New Roman" w:eastAsia="宋体"/>
          <w:sz w:val="28"/>
          <w:szCs w:val="28"/>
        </w:rPr>
        <w:t>性</w:t>
      </w:r>
      <w:r>
        <w:rPr>
          <w:rFonts w:ascii="Times New Roman" w:hAnsi="Times New Roman" w:eastAsia="宋体"/>
          <w:sz w:val="28"/>
          <w:szCs w:val="28"/>
        </w:rPr>
        <w:t>验收通过</w:t>
      </w:r>
      <w:r>
        <w:rPr>
          <w:rFonts w:hint="eastAsia" w:ascii="Times New Roman" w:hAnsi="Times New Roman" w:eastAsia="宋体"/>
          <w:sz w:val="28"/>
          <w:szCs w:val="28"/>
        </w:rPr>
        <w:t>为止</w:t>
      </w:r>
      <w:r>
        <w:rPr>
          <w:rFonts w:ascii="Times New Roman" w:hAnsi="Times New Roman" w:eastAsia="宋体"/>
          <w:sz w:val="28"/>
          <w:szCs w:val="28"/>
          <w:lang w:bidi="en-US"/>
        </w:rPr>
        <w:t>。</w:t>
      </w:r>
    </w:p>
    <w:p>
      <w:pPr>
        <w:pStyle w:val="8"/>
        <w:spacing w:before="0" w:after="0" w:line="360" w:lineRule="auto"/>
        <w:ind w:firstLine="562" w:firstLineChars="200"/>
        <w:rPr>
          <w:rFonts w:ascii="Times New Roman" w:hAnsi="Times New Roman"/>
          <w:b/>
          <w:sz w:val="28"/>
          <w:szCs w:val="28"/>
        </w:rPr>
      </w:pPr>
      <w:r>
        <w:rPr>
          <w:rFonts w:ascii="Times New Roman" w:hAnsi="Times New Roman"/>
          <w:b/>
          <w:sz w:val="28"/>
          <w:szCs w:val="28"/>
        </w:rPr>
        <w:t>三、下列文件均为本合同的组成部分：</w:t>
      </w:r>
    </w:p>
    <w:p>
      <w:pPr>
        <w:pStyle w:val="13"/>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1.协议书</w:t>
      </w:r>
    </w:p>
    <w:p>
      <w:pPr>
        <w:pStyle w:val="13"/>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2.中标通知书；</w:t>
      </w:r>
    </w:p>
    <w:p>
      <w:pPr>
        <w:pStyle w:val="13"/>
        <w:tabs>
          <w:tab w:val="left" w:pos="0"/>
        </w:tabs>
        <w:spacing w:line="360" w:lineRule="auto"/>
        <w:ind w:firstLine="560" w:firstLineChars="200"/>
        <w:jc w:val="both"/>
        <w:rPr>
          <w:rFonts w:ascii="Times New Roman" w:hAnsi="Times New Roman" w:eastAsia="宋体"/>
          <w:szCs w:val="28"/>
        </w:rPr>
      </w:pPr>
      <w:r>
        <w:rPr>
          <w:rFonts w:hint="eastAsia" w:ascii="Times New Roman" w:hAnsi="Times New Roman" w:eastAsia="宋体"/>
          <w:szCs w:val="28"/>
        </w:rPr>
        <w:t>3.合同洽谈纪要</w:t>
      </w:r>
    </w:p>
    <w:p>
      <w:pPr>
        <w:pStyle w:val="13"/>
        <w:tabs>
          <w:tab w:val="left" w:pos="0"/>
        </w:tabs>
        <w:spacing w:line="360" w:lineRule="auto"/>
        <w:ind w:firstLine="560" w:firstLineChars="200"/>
        <w:jc w:val="both"/>
        <w:rPr>
          <w:rFonts w:ascii="Times New Roman" w:hAnsi="Times New Roman" w:eastAsia="宋体"/>
          <w:szCs w:val="28"/>
        </w:rPr>
      </w:pPr>
      <w:r>
        <w:rPr>
          <w:rFonts w:hint="eastAsia" w:ascii="Times New Roman" w:hAnsi="Times New Roman" w:eastAsia="宋体"/>
          <w:szCs w:val="28"/>
        </w:rPr>
        <w:t>4</w:t>
      </w:r>
      <w:r>
        <w:rPr>
          <w:rFonts w:ascii="Times New Roman" w:hAnsi="Times New Roman" w:eastAsia="宋体"/>
          <w:szCs w:val="28"/>
        </w:rPr>
        <w:t>.投标函及投标函附录；</w:t>
      </w:r>
    </w:p>
    <w:p>
      <w:pPr>
        <w:pStyle w:val="13"/>
        <w:tabs>
          <w:tab w:val="left" w:pos="0"/>
        </w:tabs>
        <w:spacing w:line="360" w:lineRule="auto"/>
        <w:ind w:firstLine="560" w:firstLineChars="200"/>
        <w:jc w:val="both"/>
        <w:rPr>
          <w:rFonts w:ascii="Times New Roman" w:hAnsi="Times New Roman" w:eastAsia="宋体"/>
          <w:szCs w:val="28"/>
        </w:rPr>
      </w:pPr>
      <w:r>
        <w:rPr>
          <w:rFonts w:hint="eastAsia" w:ascii="Times New Roman" w:hAnsi="Times New Roman" w:eastAsia="宋体"/>
          <w:szCs w:val="28"/>
        </w:rPr>
        <w:t>5</w:t>
      </w:r>
      <w:r>
        <w:rPr>
          <w:rFonts w:ascii="Times New Roman" w:hAnsi="Times New Roman" w:eastAsia="宋体"/>
          <w:szCs w:val="28"/>
        </w:rPr>
        <w:t>.招标文件；</w:t>
      </w:r>
    </w:p>
    <w:p>
      <w:pPr>
        <w:pStyle w:val="13"/>
        <w:tabs>
          <w:tab w:val="left" w:pos="0"/>
        </w:tabs>
        <w:spacing w:line="360" w:lineRule="auto"/>
        <w:ind w:firstLine="560" w:firstLineChars="200"/>
        <w:jc w:val="both"/>
        <w:rPr>
          <w:rFonts w:ascii="Times New Roman" w:hAnsi="Times New Roman" w:eastAsia="宋体"/>
          <w:szCs w:val="28"/>
        </w:rPr>
      </w:pPr>
      <w:r>
        <w:rPr>
          <w:rFonts w:hint="eastAsia" w:ascii="Times New Roman" w:hAnsi="Times New Roman" w:eastAsia="宋体"/>
          <w:szCs w:val="28"/>
        </w:rPr>
        <w:t>6.</w:t>
      </w:r>
      <w:r>
        <w:rPr>
          <w:rFonts w:ascii="Times New Roman" w:hAnsi="Times New Roman" w:eastAsia="宋体"/>
          <w:szCs w:val="28"/>
        </w:rPr>
        <w:t>技术标准和要求；</w:t>
      </w:r>
    </w:p>
    <w:p>
      <w:pPr>
        <w:pStyle w:val="13"/>
        <w:tabs>
          <w:tab w:val="left" w:pos="0"/>
        </w:tabs>
        <w:spacing w:line="360" w:lineRule="auto"/>
        <w:ind w:firstLine="560" w:firstLineChars="200"/>
        <w:jc w:val="both"/>
        <w:rPr>
          <w:rFonts w:ascii="Times New Roman" w:hAnsi="Times New Roman" w:eastAsia="宋体"/>
          <w:szCs w:val="28"/>
        </w:rPr>
      </w:pPr>
      <w:r>
        <w:rPr>
          <w:rFonts w:hint="eastAsia" w:ascii="Times New Roman" w:hAnsi="Times New Roman" w:eastAsia="宋体"/>
          <w:szCs w:val="28"/>
        </w:rPr>
        <w:t>7</w:t>
      </w:r>
      <w:r>
        <w:rPr>
          <w:rFonts w:ascii="Times New Roman" w:hAnsi="Times New Roman" w:eastAsia="宋体"/>
          <w:szCs w:val="28"/>
        </w:rPr>
        <w:t>.投标文件</w:t>
      </w:r>
      <w:r>
        <w:rPr>
          <w:rFonts w:hint="eastAsia" w:ascii="Times New Roman" w:hAnsi="Times New Roman" w:eastAsia="宋体"/>
          <w:szCs w:val="28"/>
        </w:rPr>
        <w:t>；</w:t>
      </w:r>
    </w:p>
    <w:p>
      <w:pPr>
        <w:pStyle w:val="13"/>
        <w:tabs>
          <w:tab w:val="left" w:pos="0"/>
        </w:tabs>
        <w:spacing w:before="0" w:after="0"/>
        <w:ind w:firstLine="560" w:firstLineChars="200"/>
        <w:rPr>
          <w:rFonts w:ascii="Times New Roman" w:hAnsi="Times New Roman" w:eastAsia="宋体"/>
          <w:szCs w:val="28"/>
        </w:rPr>
      </w:pPr>
      <w:r>
        <w:rPr>
          <w:rFonts w:hint="eastAsia" w:ascii="Times New Roman" w:hAnsi="Times New Roman" w:eastAsia="宋体"/>
          <w:szCs w:val="28"/>
        </w:rPr>
        <w:t>8.其他组成合同的文件</w:t>
      </w:r>
      <w:r>
        <w:rPr>
          <w:rFonts w:ascii="Times New Roman" w:hAnsi="Times New Roman" w:eastAsia="宋体"/>
          <w:szCs w:val="28"/>
        </w:rPr>
        <w:t>；</w:t>
      </w:r>
    </w:p>
    <w:p>
      <w:pPr>
        <w:pStyle w:val="19"/>
        <w:spacing w:before="0" w:after="0" w:line="360" w:lineRule="auto"/>
        <w:ind w:firstLine="560" w:firstLineChars="200"/>
        <w:rPr>
          <w:rFonts w:ascii="Times New Roman" w:hAnsi="Times New Roman" w:eastAsia="宋体"/>
          <w:spacing w:val="6"/>
          <w:sz w:val="28"/>
          <w:szCs w:val="28"/>
        </w:rPr>
      </w:pPr>
      <w:r>
        <w:rPr>
          <w:rFonts w:hint="eastAsia" w:ascii="Times New Roman" w:hAnsi="Times New Roman" w:eastAsia="宋体"/>
          <w:sz w:val="28"/>
          <w:szCs w:val="28"/>
        </w:rPr>
        <w:t>上</w:t>
      </w:r>
      <w:r>
        <w:rPr>
          <w:rFonts w:hint="eastAsia" w:ascii="Times New Roman" w:hAnsi="Times New Roman" w:eastAsia="宋体"/>
          <w:spacing w:val="6"/>
          <w:sz w:val="28"/>
          <w:szCs w:val="28"/>
        </w:rPr>
        <w:t>述文件互为补充和解释，如有不清或相互矛盾之处，以上面所列顺序在前的为准。</w:t>
      </w:r>
    </w:p>
    <w:p>
      <w:pPr>
        <w:pStyle w:val="8"/>
        <w:spacing w:before="0" w:after="0" w:line="360" w:lineRule="auto"/>
        <w:ind w:firstLine="562" w:firstLineChars="200"/>
        <w:rPr>
          <w:rFonts w:ascii="Times New Roman" w:hAnsi="Times New Roman"/>
          <w:b/>
          <w:sz w:val="28"/>
          <w:szCs w:val="28"/>
        </w:rPr>
      </w:pPr>
      <w:r>
        <w:rPr>
          <w:rFonts w:ascii="Times New Roman" w:hAnsi="Times New Roman"/>
          <w:b/>
          <w:sz w:val="28"/>
          <w:szCs w:val="28"/>
        </w:rPr>
        <w:t>四、服务费</w:t>
      </w:r>
    </w:p>
    <w:p>
      <w:pPr>
        <w:pStyle w:val="13"/>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服务费： 本项目服务费为人民币（小写）</w:t>
      </w:r>
      <w:r>
        <w:rPr>
          <w:rFonts w:ascii="Times New Roman" w:hAnsi="Times New Roman" w:eastAsia="宋体"/>
          <w:szCs w:val="28"/>
          <w:u w:val="single"/>
        </w:rPr>
        <w:t xml:space="preserve">           </w:t>
      </w:r>
      <w:r>
        <w:rPr>
          <w:rFonts w:ascii="Times New Roman" w:hAnsi="Times New Roman" w:eastAsia="宋体"/>
          <w:szCs w:val="28"/>
        </w:rPr>
        <w:t>元（大写：</w:t>
      </w:r>
      <w:r>
        <w:rPr>
          <w:rFonts w:ascii="Times New Roman" w:hAnsi="Times New Roman" w:eastAsia="宋体"/>
          <w:szCs w:val="28"/>
          <w:u w:val="single"/>
        </w:rPr>
        <w:t xml:space="preserve">           </w:t>
      </w:r>
      <w:r>
        <w:rPr>
          <w:rFonts w:ascii="Times New Roman" w:hAnsi="Times New Roman" w:eastAsia="宋体"/>
          <w:szCs w:val="28"/>
        </w:rPr>
        <w:t>）。其中不含税价格为（小写）：</w:t>
      </w:r>
      <w:r>
        <w:rPr>
          <w:rFonts w:ascii="Times New Roman" w:hAnsi="Times New Roman" w:eastAsia="宋体"/>
          <w:szCs w:val="28"/>
          <w:u w:val="single"/>
        </w:rPr>
        <w:t xml:space="preserve">             </w:t>
      </w:r>
      <w:r>
        <w:rPr>
          <w:rFonts w:ascii="Times New Roman" w:hAnsi="Times New Roman" w:eastAsia="宋体"/>
          <w:szCs w:val="28"/>
        </w:rPr>
        <w:t>元，税金为：</w:t>
      </w:r>
      <w:r>
        <w:rPr>
          <w:rFonts w:ascii="Times New Roman" w:hAnsi="Times New Roman" w:eastAsia="宋体"/>
          <w:szCs w:val="28"/>
          <w:u w:val="single"/>
        </w:rPr>
        <w:t xml:space="preserve">             </w:t>
      </w:r>
      <w:r>
        <w:rPr>
          <w:rFonts w:ascii="Times New Roman" w:hAnsi="Times New Roman" w:eastAsia="宋体"/>
          <w:szCs w:val="28"/>
        </w:rPr>
        <w:t>元，本合同为总价包干合同。</w:t>
      </w:r>
      <w:r>
        <w:rPr>
          <w:rFonts w:hint="eastAsia" w:ascii="Times New Roman" w:hAnsi="Times New Roman" w:eastAsia="宋体" w:cs="宋体"/>
          <w:kern w:val="2"/>
          <w:szCs w:val="28"/>
        </w:rPr>
        <w:t>不含税价格部分不因市场价格变化而变化，在合同履行期间，如遇国家的税率调整，则价税合计的价格应相应调整，以开具发票的时间为准</w:t>
      </w:r>
      <w:r>
        <w:rPr>
          <w:rFonts w:ascii="Times New Roman" w:hAnsi="Times New Roman" w:eastAsia="宋体" w:cs="宋体"/>
          <w:kern w:val="2"/>
          <w:szCs w:val="28"/>
        </w:rPr>
        <w:t>。</w:t>
      </w:r>
    </w:p>
    <w:p>
      <w:pPr>
        <w:pStyle w:val="13"/>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甲方一般纳税人增值税专票信息:</w:t>
      </w:r>
    </w:p>
    <w:p>
      <w:pPr>
        <w:pStyle w:val="13"/>
        <w:tabs>
          <w:tab w:val="left" w:pos="0"/>
        </w:tabs>
        <w:spacing w:line="360" w:lineRule="auto"/>
        <w:ind w:firstLine="560" w:firstLineChars="200"/>
        <w:jc w:val="both"/>
        <w:rPr>
          <w:rFonts w:ascii="Times New Roman" w:hAnsi="Times New Roman" w:eastAsia="宋体"/>
          <w:szCs w:val="28"/>
          <w:u w:val="single"/>
        </w:rPr>
      </w:pPr>
      <w:r>
        <w:rPr>
          <w:rFonts w:ascii="Times New Roman" w:hAnsi="Times New Roman" w:eastAsia="宋体"/>
          <w:szCs w:val="28"/>
        </w:rPr>
        <w:t>单位名称：</w:t>
      </w:r>
      <w:r>
        <w:rPr>
          <w:rFonts w:ascii="Times New Roman" w:hAnsi="Times New Roman" w:eastAsia="宋体"/>
          <w:szCs w:val="28"/>
          <w:u w:val="single"/>
        </w:rPr>
        <w:t>四川省能投攀枝花水电开发有限公司</w:t>
      </w:r>
    </w:p>
    <w:p>
      <w:pPr>
        <w:pStyle w:val="13"/>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纳税人识别号（统一社会信用代码）：</w:t>
      </w:r>
      <w:r>
        <w:rPr>
          <w:rFonts w:ascii="Times New Roman" w:hAnsi="Times New Roman" w:eastAsia="宋体"/>
          <w:szCs w:val="28"/>
          <w:u w:val="single"/>
        </w:rPr>
        <w:t>91510403590460698H</w:t>
      </w:r>
      <w:r>
        <w:rPr>
          <w:rFonts w:ascii="Times New Roman" w:hAnsi="Times New Roman" w:eastAsia="宋体"/>
          <w:szCs w:val="28"/>
        </w:rPr>
        <w:t xml:space="preserve"> </w:t>
      </w:r>
    </w:p>
    <w:p>
      <w:pPr>
        <w:pStyle w:val="13"/>
        <w:tabs>
          <w:tab w:val="left" w:pos="0"/>
        </w:tabs>
        <w:spacing w:line="360" w:lineRule="auto"/>
        <w:ind w:firstLine="560" w:firstLineChars="200"/>
        <w:jc w:val="both"/>
        <w:rPr>
          <w:rFonts w:ascii="Times New Roman" w:hAnsi="Times New Roman" w:eastAsia="宋体"/>
          <w:szCs w:val="28"/>
          <w:u w:val="single"/>
        </w:rPr>
      </w:pPr>
      <w:r>
        <w:rPr>
          <w:rFonts w:ascii="Times New Roman" w:hAnsi="Times New Roman" w:eastAsia="宋体"/>
          <w:szCs w:val="28"/>
        </w:rPr>
        <w:t>单位地址：</w:t>
      </w:r>
      <w:r>
        <w:rPr>
          <w:rFonts w:ascii="Times New Roman" w:hAnsi="Times New Roman" w:eastAsia="宋体"/>
          <w:szCs w:val="28"/>
          <w:u w:val="single"/>
        </w:rPr>
        <w:t>四川省攀枝花市西区建福巷88号</w:t>
      </w:r>
      <w:r>
        <w:rPr>
          <w:rFonts w:ascii="Times New Roman" w:hAnsi="Times New Roman" w:eastAsia="宋体"/>
          <w:szCs w:val="28"/>
        </w:rPr>
        <w:t xml:space="preserve">   电话：</w:t>
      </w:r>
      <w:r>
        <w:rPr>
          <w:rFonts w:ascii="Times New Roman" w:hAnsi="Times New Roman" w:eastAsia="宋体"/>
          <w:szCs w:val="28"/>
          <w:u w:val="single"/>
        </w:rPr>
        <w:t>0812-</w:t>
      </w:r>
      <w:r>
        <w:rPr>
          <w:rFonts w:hint="eastAsia" w:ascii="Times New Roman" w:hAnsi="Times New Roman" w:eastAsia="宋体"/>
          <w:szCs w:val="28"/>
          <w:u w:val="single"/>
        </w:rPr>
        <w:t>3151250</w:t>
      </w:r>
    </w:p>
    <w:p>
      <w:pPr>
        <w:pStyle w:val="13"/>
        <w:tabs>
          <w:tab w:val="left" w:pos="0"/>
        </w:tabs>
        <w:spacing w:line="360" w:lineRule="auto"/>
        <w:ind w:firstLine="560" w:firstLineChars="200"/>
        <w:jc w:val="both"/>
        <w:rPr>
          <w:rFonts w:ascii="Times New Roman" w:hAnsi="Times New Roman" w:eastAsia="宋体"/>
          <w:szCs w:val="28"/>
          <w:u w:val="single"/>
        </w:rPr>
      </w:pPr>
      <w:r>
        <w:rPr>
          <w:rFonts w:ascii="Times New Roman" w:hAnsi="Times New Roman" w:eastAsia="宋体"/>
          <w:szCs w:val="28"/>
        </w:rPr>
        <w:t>开户行：</w:t>
      </w:r>
      <w:r>
        <w:rPr>
          <w:rFonts w:ascii="Times New Roman" w:hAnsi="Times New Roman" w:eastAsia="宋体"/>
          <w:szCs w:val="28"/>
          <w:u w:val="single"/>
        </w:rPr>
        <w:t>中国建设银行攀枝花</w:t>
      </w:r>
      <w:r>
        <w:rPr>
          <w:rFonts w:hint="eastAsia" w:ascii="Times New Roman" w:hAnsi="Times New Roman" w:eastAsia="宋体"/>
          <w:szCs w:val="28"/>
          <w:u w:val="single"/>
        </w:rPr>
        <w:t>西区支行</w:t>
      </w:r>
      <w:r>
        <w:rPr>
          <w:rFonts w:ascii="Times New Roman" w:hAnsi="Times New Roman" w:eastAsia="宋体"/>
          <w:szCs w:val="28"/>
        </w:rPr>
        <w:tab/>
      </w:r>
      <w:r>
        <w:rPr>
          <w:rFonts w:ascii="Times New Roman" w:hAnsi="Times New Roman" w:eastAsia="宋体"/>
          <w:szCs w:val="28"/>
        </w:rPr>
        <w:t xml:space="preserve"> 账号：</w:t>
      </w:r>
      <w:r>
        <w:rPr>
          <w:rFonts w:ascii="Times New Roman" w:hAnsi="Times New Roman" w:eastAsia="宋体"/>
          <w:szCs w:val="28"/>
          <w:u w:val="single"/>
        </w:rPr>
        <w:t>51001627438059555666</w:t>
      </w:r>
    </w:p>
    <w:p>
      <w:pPr>
        <w:pStyle w:val="8"/>
        <w:spacing w:before="0" w:after="0" w:line="360" w:lineRule="auto"/>
        <w:ind w:firstLine="562" w:firstLineChars="200"/>
        <w:rPr>
          <w:rFonts w:ascii="Times New Roman" w:hAnsi="Times New Roman"/>
          <w:b/>
          <w:sz w:val="28"/>
          <w:szCs w:val="28"/>
        </w:rPr>
      </w:pPr>
      <w:r>
        <w:rPr>
          <w:rFonts w:ascii="Times New Roman" w:hAnsi="Times New Roman"/>
          <w:b/>
          <w:sz w:val="28"/>
          <w:szCs w:val="28"/>
        </w:rPr>
        <w:t>五、计量支付</w:t>
      </w:r>
    </w:p>
    <w:p>
      <w:pPr>
        <w:tabs>
          <w:tab w:val="left" w:pos="857"/>
        </w:tabs>
        <w:spacing w:line="360" w:lineRule="auto"/>
        <w:ind w:firstLine="562" w:firstLineChars="200"/>
        <w:rPr>
          <w:rFonts w:ascii="Times New Roman" w:hAnsi="Times New Roman" w:eastAsia="宋体"/>
          <w:b/>
          <w:sz w:val="28"/>
          <w:szCs w:val="28"/>
        </w:rPr>
      </w:pPr>
      <w:r>
        <w:rPr>
          <w:rFonts w:ascii="Times New Roman" w:hAnsi="Times New Roman" w:eastAsia="宋体"/>
          <w:b/>
          <w:sz w:val="28"/>
          <w:szCs w:val="28"/>
        </w:rPr>
        <w:t>5.1 具体支付方式如下：</w:t>
      </w:r>
    </w:p>
    <w:p>
      <w:pPr>
        <w:pStyle w:val="13"/>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（1）在签订合同之日起</w:t>
      </w:r>
      <w:r>
        <w:rPr>
          <w:rFonts w:hint="eastAsia" w:ascii="Times New Roman" w:hAnsi="Times New Roman" w:eastAsia="宋体"/>
          <w:szCs w:val="28"/>
        </w:rPr>
        <w:t>30</w:t>
      </w:r>
      <w:r>
        <w:rPr>
          <w:rFonts w:ascii="Times New Roman" w:hAnsi="Times New Roman" w:eastAsia="宋体"/>
          <w:szCs w:val="28"/>
        </w:rPr>
        <w:t>日内</w:t>
      </w:r>
      <w:r>
        <w:rPr>
          <w:rFonts w:hint="eastAsia" w:ascii="Times New Roman" w:hAnsi="Times New Roman" w:eastAsia="宋体"/>
          <w:szCs w:val="28"/>
        </w:rPr>
        <w:t>，乙方提供与支付金额相等的增值税专用发票</w:t>
      </w:r>
      <w:r>
        <w:rPr>
          <w:rFonts w:ascii="Times New Roman" w:hAnsi="Times New Roman" w:eastAsia="宋体"/>
          <w:szCs w:val="28"/>
        </w:rPr>
        <w:t>，甲方向乙方支付咨询服务启动资金，为服务费用总额的30%进度款。</w:t>
      </w:r>
    </w:p>
    <w:p>
      <w:pPr>
        <w:pStyle w:val="13"/>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（2</w:t>
      </w:r>
      <w:r>
        <w:rPr>
          <w:rFonts w:ascii="Times New Roman" w:hAnsi="Times New Roman" w:eastAsia="宋体"/>
          <w:spacing w:val="-3"/>
          <w:szCs w:val="28"/>
        </w:rPr>
        <w:t>）</w:t>
      </w:r>
      <w:r>
        <w:rPr>
          <w:rFonts w:ascii="Times New Roman" w:hAnsi="Times New Roman" w:eastAsia="宋体"/>
          <w:szCs w:val="28"/>
        </w:rPr>
        <w:t>乙方</w:t>
      </w:r>
      <w:r>
        <w:rPr>
          <w:rFonts w:ascii="Times New Roman" w:hAnsi="Times New Roman" w:eastAsia="宋体"/>
          <w:spacing w:val="-2"/>
          <w:szCs w:val="28"/>
        </w:rPr>
        <w:t>完</w:t>
      </w:r>
      <w:r>
        <w:rPr>
          <w:rFonts w:ascii="Times New Roman" w:hAnsi="Times New Roman" w:eastAsia="宋体"/>
          <w:spacing w:val="-3"/>
          <w:szCs w:val="28"/>
        </w:rPr>
        <w:t>成</w:t>
      </w:r>
      <w:r>
        <w:rPr>
          <w:rFonts w:ascii="Times New Roman" w:hAnsi="Times New Roman" w:eastAsia="宋体"/>
          <w:szCs w:val="28"/>
        </w:rPr>
        <w:t>《</w:t>
      </w:r>
      <w:r>
        <w:rPr>
          <w:rFonts w:hint="eastAsia" w:ascii="Times New Roman" w:hAnsi="Times New Roman" w:eastAsia="宋体"/>
          <w:szCs w:val="28"/>
        </w:rPr>
        <w:t>金沙水电站蓄水对周边煤矿影响区域矿井突水灾害隐患治理工程质量检测报告</w:t>
      </w:r>
      <w:r>
        <w:rPr>
          <w:rFonts w:ascii="Times New Roman" w:hAnsi="Times New Roman" w:eastAsia="宋体"/>
          <w:szCs w:val="28"/>
        </w:rPr>
        <w:t>》，</w:t>
      </w:r>
      <w:r>
        <w:rPr>
          <w:rFonts w:ascii="Times New Roman" w:hAnsi="Times New Roman" w:eastAsia="宋体"/>
          <w:spacing w:val="2"/>
          <w:szCs w:val="28"/>
        </w:rPr>
        <w:t>乙方</w:t>
      </w:r>
      <w:r>
        <w:rPr>
          <w:rFonts w:ascii="Times New Roman" w:hAnsi="Times New Roman" w:eastAsia="宋体"/>
          <w:spacing w:val="1"/>
          <w:szCs w:val="28"/>
        </w:rPr>
        <w:t>通</w:t>
      </w:r>
      <w:r>
        <w:rPr>
          <w:rFonts w:ascii="Times New Roman" w:hAnsi="Times New Roman" w:eastAsia="宋体"/>
          <w:spacing w:val="2"/>
          <w:szCs w:val="28"/>
        </w:rPr>
        <w:t>过</w:t>
      </w:r>
      <w:r>
        <w:rPr>
          <w:rFonts w:hint="eastAsia" w:ascii="Times New Roman" w:hAnsi="Times New Roman" w:eastAsia="宋体"/>
          <w:spacing w:val="2"/>
          <w:szCs w:val="28"/>
        </w:rPr>
        <w:t>金沙水电站蓄水对周边煤矿影响区域矿井突水灾害隐患治理工程质量检测报告验收</w:t>
      </w:r>
      <w:r>
        <w:rPr>
          <w:rFonts w:ascii="Times New Roman" w:hAnsi="Times New Roman" w:eastAsia="宋体"/>
          <w:spacing w:val="2"/>
          <w:szCs w:val="28"/>
        </w:rPr>
        <w:t>，</w:t>
      </w:r>
      <w:r>
        <w:rPr>
          <w:rFonts w:ascii="Times New Roman" w:hAnsi="Times New Roman" w:eastAsia="宋体"/>
          <w:spacing w:val="1"/>
          <w:szCs w:val="28"/>
        </w:rPr>
        <w:t>并配合完成验</w:t>
      </w:r>
      <w:r>
        <w:rPr>
          <w:rFonts w:ascii="Times New Roman" w:hAnsi="Times New Roman" w:eastAsia="宋体"/>
          <w:spacing w:val="2"/>
          <w:szCs w:val="28"/>
        </w:rPr>
        <w:t>收备案</w:t>
      </w:r>
      <w:r>
        <w:rPr>
          <w:rFonts w:ascii="Times New Roman" w:hAnsi="Times New Roman" w:eastAsia="宋体"/>
          <w:spacing w:val="1"/>
          <w:szCs w:val="28"/>
        </w:rPr>
        <w:t>后7</w:t>
      </w:r>
      <w:r>
        <w:rPr>
          <w:rFonts w:ascii="Times New Roman" w:hAnsi="Times New Roman" w:eastAsia="宋体"/>
          <w:spacing w:val="2"/>
          <w:szCs w:val="28"/>
        </w:rPr>
        <w:t>日内</w:t>
      </w:r>
      <w:r>
        <w:rPr>
          <w:rFonts w:hint="eastAsia" w:ascii="Times New Roman" w:hAnsi="Times New Roman" w:eastAsia="宋体"/>
          <w:spacing w:val="2"/>
          <w:szCs w:val="28"/>
        </w:rPr>
        <w:t>，</w:t>
      </w:r>
      <w:r>
        <w:rPr>
          <w:rFonts w:hint="eastAsia" w:ascii="Times New Roman" w:hAnsi="Times New Roman" w:eastAsia="宋体"/>
          <w:szCs w:val="28"/>
        </w:rPr>
        <w:t>乙方提供与支付金额相等的增值税专用发票</w:t>
      </w:r>
      <w:r>
        <w:rPr>
          <w:rFonts w:ascii="Times New Roman" w:hAnsi="Times New Roman" w:eastAsia="宋体"/>
          <w:spacing w:val="2"/>
          <w:szCs w:val="28"/>
        </w:rPr>
        <w:t>，甲</w:t>
      </w:r>
      <w:r>
        <w:rPr>
          <w:rFonts w:ascii="Times New Roman" w:hAnsi="Times New Roman" w:eastAsia="宋体"/>
          <w:spacing w:val="1"/>
          <w:szCs w:val="28"/>
        </w:rPr>
        <w:t>方</w:t>
      </w:r>
      <w:r>
        <w:rPr>
          <w:rFonts w:ascii="Times New Roman" w:hAnsi="Times New Roman" w:eastAsia="宋体"/>
          <w:spacing w:val="2"/>
          <w:szCs w:val="28"/>
        </w:rPr>
        <w:t>向乙方支</w:t>
      </w:r>
      <w:r>
        <w:rPr>
          <w:rFonts w:ascii="Times New Roman" w:hAnsi="Times New Roman" w:eastAsia="宋体"/>
          <w:spacing w:val="1"/>
          <w:szCs w:val="28"/>
        </w:rPr>
        <w:t>付</w:t>
      </w:r>
      <w:r>
        <w:rPr>
          <w:rFonts w:ascii="Times New Roman" w:hAnsi="Times New Roman" w:eastAsia="宋体"/>
          <w:spacing w:val="2"/>
          <w:szCs w:val="28"/>
        </w:rPr>
        <w:t>剩余</w:t>
      </w:r>
      <w:r>
        <w:rPr>
          <w:rFonts w:ascii="Times New Roman" w:hAnsi="Times New Roman" w:eastAsia="宋体"/>
          <w:spacing w:val="1"/>
          <w:szCs w:val="28"/>
        </w:rPr>
        <w:t>费</w:t>
      </w:r>
      <w:r>
        <w:rPr>
          <w:rFonts w:ascii="Times New Roman" w:hAnsi="Times New Roman" w:eastAsia="宋体"/>
          <w:spacing w:val="2"/>
          <w:szCs w:val="28"/>
        </w:rPr>
        <w:t>用</w:t>
      </w:r>
      <w:r>
        <w:rPr>
          <w:rFonts w:ascii="Times New Roman" w:hAnsi="Times New Roman" w:eastAsia="宋体"/>
          <w:szCs w:val="28"/>
        </w:rPr>
        <w:t>。</w:t>
      </w:r>
    </w:p>
    <w:p>
      <w:pPr>
        <w:pStyle w:val="13"/>
        <w:tabs>
          <w:tab w:val="left" w:pos="0"/>
        </w:tabs>
        <w:spacing w:line="240" w:lineRule="auto"/>
        <w:ind w:firstLine="560"/>
        <w:jc w:val="both"/>
        <w:rPr>
          <w:rFonts w:ascii="Times New Roman" w:hAnsi="Times New Roman" w:eastAsia="宋体"/>
          <w:szCs w:val="28"/>
        </w:rPr>
      </w:pPr>
      <w:r>
        <w:rPr>
          <w:rFonts w:ascii="Times New Roman" w:hAnsi="Times New Roman" w:eastAsia="宋体"/>
          <w:szCs w:val="28"/>
        </w:rPr>
        <w:t>（3）每笔款项支付前，若乙方未提供合法足额有效的增值税专用发票的，甲方有权拒绝或者延迟付款，并不承担任何违约责任。</w:t>
      </w:r>
    </w:p>
    <w:p>
      <w:pPr>
        <w:pStyle w:val="19"/>
        <w:spacing w:before="0" w:after="0" w:line="360" w:lineRule="auto"/>
        <w:ind w:firstLine="560" w:firstLineChars="200"/>
        <w:rPr>
          <w:rFonts w:ascii="Times New Roman" w:hAnsi="Times New Roman" w:eastAsia="宋体"/>
          <w:sz w:val="28"/>
          <w:szCs w:val="28"/>
        </w:rPr>
      </w:pPr>
      <w:r>
        <w:rPr>
          <w:rFonts w:hint="eastAsia" w:ascii="Times New Roman" w:hAnsi="Times New Roman" w:eastAsia="宋体"/>
          <w:sz w:val="28"/>
          <w:szCs w:val="28"/>
        </w:rPr>
        <w:t>六、考虑到甲方将按规定付款给乙方，乙方在此立约，保证全面按合同规定要求完成本工程质量检测和报告编制等工作，以及与工程项目审批相关的辅助工作。</w:t>
      </w:r>
    </w:p>
    <w:p>
      <w:pPr>
        <w:pStyle w:val="19"/>
        <w:spacing w:before="0" w:after="0" w:line="360" w:lineRule="auto"/>
        <w:ind w:firstLine="560" w:firstLineChars="200"/>
        <w:rPr>
          <w:rFonts w:ascii="Times New Roman" w:hAnsi="Times New Roman" w:eastAsia="宋体"/>
          <w:sz w:val="28"/>
          <w:szCs w:val="28"/>
        </w:rPr>
      </w:pPr>
      <w:r>
        <w:rPr>
          <w:rFonts w:hint="eastAsia" w:ascii="Times New Roman" w:hAnsi="Times New Roman" w:eastAsia="宋体"/>
          <w:sz w:val="28"/>
          <w:szCs w:val="28"/>
        </w:rPr>
        <w:t>七、考虑到乙方将进行本工程检测报告编制等工作，以及与工程项目审批相关的辅助工作，甲方在此立约，保证按合同规定的方式和时间付款给施工方。</w:t>
      </w:r>
    </w:p>
    <w:p>
      <w:pPr>
        <w:pStyle w:val="19"/>
        <w:spacing w:before="0" w:after="0" w:line="360" w:lineRule="auto"/>
        <w:ind w:firstLine="560" w:firstLineChars="200"/>
        <w:rPr>
          <w:rFonts w:ascii="Times New Roman" w:hAnsi="Times New Roman" w:eastAsia="宋体"/>
          <w:sz w:val="28"/>
          <w:szCs w:val="28"/>
        </w:rPr>
      </w:pPr>
      <w:r>
        <w:rPr>
          <w:rFonts w:hint="eastAsia" w:ascii="Times New Roman" w:hAnsi="Times New Roman" w:eastAsia="宋体"/>
          <w:sz w:val="28"/>
          <w:szCs w:val="28"/>
        </w:rPr>
        <w:t>八、违约</w:t>
      </w:r>
    </w:p>
    <w:p>
      <w:pPr>
        <w:pStyle w:val="19"/>
        <w:spacing w:before="0" w:after="0" w:line="360" w:lineRule="auto"/>
        <w:ind w:firstLine="560" w:firstLineChars="200"/>
        <w:rPr>
          <w:rFonts w:ascii="Times New Roman" w:hAnsi="Times New Roman" w:eastAsia="宋体"/>
          <w:sz w:val="28"/>
          <w:szCs w:val="28"/>
        </w:rPr>
      </w:pPr>
      <w:r>
        <w:rPr>
          <w:rFonts w:hint="eastAsia" w:ascii="Times New Roman" w:hAnsi="Times New Roman" w:eastAsia="宋体"/>
          <w:sz w:val="28"/>
          <w:szCs w:val="28"/>
        </w:rPr>
        <w:t>违反本合同约定，违约方应当按合同法有关规定，承担违约责任，并赔偿对方因违约造成的全部损失。</w:t>
      </w:r>
    </w:p>
    <w:p>
      <w:pPr>
        <w:pStyle w:val="19"/>
        <w:spacing w:before="0" w:after="0" w:line="360" w:lineRule="auto"/>
        <w:ind w:firstLine="560" w:firstLineChars="200"/>
        <w:rPr>
          <w:rFonts w:ascii="Times New Roman" w:hAnsi="Times New Roman" w:eastAsia="宋体"/>
          <w:sz w:val="28"/>
          <w:szCs w:val="28"/>
        </w:rPr>
      </w:pPr>
      <w:r>
        <w:rPr>
          <w:rFonts w:hint="eastAsia" w:ascii="Times New Roman" w:hAnsi="Times New Roman" w:eastAsia="宋体"/>
          <w:sz w:val="28"/>
          <w:szCs w:val="28"/>
        </w:rPr>
        <w:t>九争议的解决办法</w:t>
      </w:r>
    </w:p>
    <w:p>
      <w:pPr>
        <w:pStyle w:val="19"/>
        <w:spacing w:before="0" w:after="0" w:line="360" w:lineRule="auto"/>
        <w:ind w:firstLine="560" w:firstLineChars="200"/>
        <w:rPr>
          <w:rFonts w:ascii="Times New Roman" w:hAnsi="Times New Roman" w:eastAsia="宋体"/>
          <w:sz w:val="28"/>
          <w:szCs w:val="28"/>
        </w:rPr>
      </w:pPr>
      <w:r>
        <w:rPr>
          <w:rFonts w:hint="eastAsia" w:ascii="Times New Roman" w:hAnsi="Times New Roman" w:eastAsia="宋体"/>
          <w:sz w:val="28"/>
          <w:szCs w:val="28"/>
        </w:rPr>
        <w:t>在合同履行过程中若发生争议，双方应当协商解决；协商不成时，可请求仲裁机构进行仲裁，仲裁结果是终局的，对双方有约束力。</w:t>
      </w:r>
    </w:p>
    <w:p>
      <w:pPr>
        <w:pStyle w:val="19"/>
        <w:tabs>
          <w:tab w:val="left" w:pos="4945"/>
        </w:tabs>
        <w:spacing w:before="0" w:after="0" w:line="360" w:lineRule="auto"/>
        <w:ind w:firstLine="480" w:firstLineChars="200"/>
        <w:rPr>
          <w:rFonts w:ascii="Times New Roman" w:hAnsi="Times New Roman" w:eastAsia="宋体"/>
          <w:sz w:val="24"/>
        </w:rPr>
      </w:pP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甲方(章)：</w:t>
      </w:r>
      <w:r>
        <w:rPr>
          <w:rFonts w:hint="eastAsia" w:ascii="Times New Roman" w:hAnsi="Times New Roman" w:eastAsia="宋体"/>
          <w:sz w:val="28"/>
          <w:szCs w:val="21"/>
        </w:rPr>
        <w:tab/>
      </w:r>
      <w:r>
        <w:rPr>
          <w:rFonts w:hint="eastAsia" w:ascii="Times New Roman" w:hAnsi="Times New Roman" w:eastAsia="宋体"/>
          <w:sz w:val="28"/>
          <w:szCs w:val="21"/>
        </w:rPr>
        <w:t>乙方(章)：</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地    址：</w:t>
      </w:r>
      <w:r>
        <w:rPr>
          <w:rFonts w:hint="eastAsia" w:ascii="Times New Roman" w:hAnsi="Times New Roman" w:eastAsia="宋体"/>
          <w:sz w:val="28"/>
          <w:szCs w:val="21"/>
        </w:rPr>
        <w:tab/>
      </w:r>
      <w:r>
        <w:rPr>
          <w:rFonts w:hint="eastAsia" w:ascii="Times New Roman" w:hAnsi="Times New Roman" w:eastAsia="宋体"/>
          <w:sz w:val="28"/>
          <w:szCs w:val="21"/>
        </w:rPr>
        <w:t>地    址：</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法人代表</w:t>
      </w:r>
      <w:r>
        <w:rPr>
          <w:rFonts w:hint="eastAsia" w:ascii="Times New Roman" w:hAnsi="Times New Roman" w:eastAsia="宋体"/>
          <w:sz w:val="28"/>
          <w:szCs w:val="21"/>
        </w:rPr>
        <w:tab/>
      </w:r>
      <w:r>
        <w:rPr>
          <w:rFonts w:hint="eastAsia" w:ascii="Times New Roman" w:hAnsi="Times New Roman" w:eastAsia="宋体"/>
          <w:sz w:val="28"/>
          <w:szCs w:val="21"/>
        </w:rPr>
        <w:t>法人代表</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或委托代理人：</w:t>
      </w:r>
      <w:r>
        <w:rPr>
          <w:rFonts w:hint="eastAsia" w:ascii="Times New Roman" w:hAnsi="Times New Roman" w:eastAsia="宋体"/>
          <w:sz w:val="28"/>
          <w:szCs w:val="21"/>
        </w:rPr>
        <w:tab/>
      </w:r>
      <w:r>
        <w:rPr>
          <w:rFonts w:hint="eastAsia" w:ascii="Times New Roman" w:hAnsi="Times New Roman" w:eastAsia="宋体"/>
          <w:sz w:val="28"/>
          <w:szCs w:val="21"/>
        </w:rPr>
        <w:t>或委托代理人：</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开户银行：</w:t>
      </w:r>
      <w:r>
        <w:rPr>
          <w:rFonts w:hint="eastAsia" w:ascii="Times New Roman" w:hAnsi="Times New Roman" w:eastAsia="宋体"/>
          <w:sz w:val="28"/>
          <w:szCs w:val="21"/>
        </w:rPr>
        <w:tab/>
      </w:r>
      <w:r>
        <w:rPr>
          <w:rFonts w:hint="eastAsia" w:ascii="Times New Roman" w:hAnsi="Times New Roman" w:eastAsia="宋体"/>
          <w:sz w:val="28"/>
          <w:szCs w:val="21"/>
        </w:rPr>
        <w:t>开户银行：</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账    号：</w:t>
      </w:r>
      <w:r>
        <w:rPr>
          <w:rFonts w:hint="eastAsia" w:ascii="Times New Roman" w:hAnsi="Times New Roman" w:eastAsia="宋体"/>
          <w:sz w:val="28"/>
          <w:szCs w:val="21"/>
        </w:rPr>
        <w:tab/>
      </w:r>
      <w:r>
        <w:rPr>
          <w:rFonts w:hint="eastAsia" w:ascii="Times New Roman" w:hAnsi="Times New Roman" w:eastAsia="宋体"/>
          <w:sz w:val="28"/>
          <w:szCs w:val="21"/>
        </w:rPr>
        <w:t>账    号：</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电    话：</w:t>
      </w:r>
      <w:r>
        <w:rPr>
          <w:rFonts w:hint="eastAsia" w:ascii="Times New Roman" w:hAnsi="Times New Roman" w:eastAsia="宋体"/>
          <w:sz w:val="28"/>
          <w:szCs w:val="21"/>
        </w:rPr>
        <w:tab/>
      </w:r>
      <w:r>
        <w:rPr>
          <w:rFonts w:hint="eastAsia" w:ascii="Times New Roman" w:hAnsi="Times New Roman" w:eastAsia="宋体"/>
          <w:sz w:val="28"/>
          <w:szCs w:val="21"/>
        </w:rPr>
        <w:t>电    话：</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传    真：</w:t>
      </w:r>
      <w:r>
        <w:rPr>
          <w:rFonts w:hint="eastAsia" w:ascii="Times New Roman" w:hAnsi="Times New Roman" w:eastAsia="宋体"/>
          <w:sz w:val="28"/>
          <w:szCs w:val="21"/>
        </w:rPr>
        <w:tab/>
      </w:r>
      <w:r>
        <w:rPr>
          <w:rFonts w:hint="eastAsia" w:ascii="Times New Roman" w:hAnsi="Times New Roman" w:eastAsia="宋体"/>
          <w:sz w:val="28"/>
          <w:szCs w:val="21"/>
        </w:rPr>
        <w:t>传    真：</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邮政编码：</w:t>
      </w:r>
      <w:r>
        <w:rPr>
          <w:rFonts w:hint="eastAsia" w:ascii="Times New Roman" w:hAnsi="Times New Roman" w:eastAsia="宋体"/>
          <w:sz w:val="28"/>
          <w:szCs w:val="21"/>
        </w:rPr>
        <w:tab/>
      </w:r>
      <w:r>
        <w:rPr>
          <w:rFonts w:hint="eastAsia" w:ascii="Times New Roman" w:hAnsi="Times New Roman" w:eastAsia="宋体"/>
          <w:sz w:val="28"/>
          <w:szCs w:val="21"/>
        </w:rPr>
        <w:t>邮政编码：</w:t>
      </w:r>
    </w:p>
    <w:p>
      <w:pPr>
        <w:pStyle w:val="19"/>
        <w:tabs>
          <w:tab w:val="left" w:pos="4945"/>
        </w:tabs>
        <w:spacing w:before="0" w:after="0" w:line="360" w:lineRule="auto"/>
        <w:ind w:firstLine="560" w:firstLineChars="200"/>
        <w:rPr>
          <w:rFonts w:ascii="Times New Roman" w:hAnsi="Times New Roman" w:eastAsia="宋体"/>
          <w:sz w:val="28"/>
          <w:szCs w:val="21"/>
        </w:rPr>
      </w:pPr>
      <w:r>
        <w:rPr>
          <w:rFonts w:hint="eastAsia" w:ascii="Times New Roman" w:hAnsi="Times New Roman" w:eastAsia="宋体"/>
          <w:sz w:val="28"/>
          <w:szCs w:val="21"/>
        </w:rPr>
        <w:t xml:space="preserve">      年  月   日 </w:t>
      </w:r>
      <w:r>
        <w:rPr>
          <w:rFonts w:hint="eastAsia" w:ascii="Times New Roman" w:hAnsi="Times New Roman" w:eastAsia="宋体"/>
          <w:sz w:val="28"/>
          <w:szCs w:val="21"/>
        </w:rPr>
        <w:tab/>
      </w:r>
      <w:r>
        <w:rPr>
          <w:rFonts w:hint="eastAsia" w:ascii="Times New Roman" w:hAnsi="Times New Roman" w:eastAsia="宋体"/>
          <w:sz w:val="28"/>
          <w:szCs w:val="21"/>
        </w:rPr>
        <w:t xml:space="preserve">        年  月  日</w:t>
      </w:r>
    </w:p>
    <w:p>
      <w:pPr>
        <w:pStyle w:val="19"/>
        <w:tabs>
          <w:tab w:val="left" w:pos="4945"/>
        </w:tabs>
        <w:spacing w:before="0" w:after="0"/>
        <w:rPr>
          <w:rFonts w:ascii="Times New Roman" w:hAnsi="Times New Roman" w:eastAsia="宋体"/>
          <w:sz w:val="24"/>
          <w:szCs w:val="24"/>
        </w:rPr>
      </w:pPr>
    </w:p>
    <w:p>
      <w:pPr>
        <w:pStyle w:val="7"/>
        <w:rPr>
          <w:snapToGrid w:val="0"/>
        </w:rPr>
      </w:pPr>
      <w:r>
        <w:rPr>
          <w:rFonts w:hint="eastAsia"/>
          <w:snapToGrid w:val="0"/>
        </w:rPr>
        <w:t xml:space="preserve">第二节 </w:t>
      </w:r>
      <w:r>
        <w:rPr>
          <w:snapToGrid w:val="0"/>
        </w:rPr>
        <w:t>廉政协议书</w:t>
      </w:r>
    </w:p>
    <w:p>
      <w:pPr>
        <w:ind w:firstLine="482"/>
        <w:rPr>
          <w:rFonts w:ascii="Times New Roman" w:hAnsi="Times New Roman" w:eastAsia="宋体"/>
          <w:bCs/>
          <w:snapToGrid w:val="0"/>
        </w:rPr>
      </w:pP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根据国家相关法律法规以及有关廉政建设的规定，为做好党风廉政建设，保证</w:t>
      </w:r>
      <w:r>
        <w:rPr>
          <w:rFonts w:hint="eastAsia" w:ascii="Times New Roman" w:hAnsi="Times New Roman" w:eastAsia="宋体"/>
          <w:sz w:val="28"/>
          <w:szCs w:val="28"/>
        </w:rPr>
        <w:t>本项目</w:t>
      </w:r>
      <w:r>
        <w:rPr>
          <w:rFonts w:ascii="Times New Roman" w:hAnsi="Times New Roman" w:eastAsia="宋体"/>
          <w:sz w:val="28"/>
          <w:szCs w:val="28"/>
        </w:rPr>
        <w:t>的高效优质，保证资金的安全和有效使用以及投资效益，本项目</w:t>
      </w:r>
      <w:r>
        <w:rPr>
          <w:rFonts w:hint="eastAsia" w:ascii="Times New Roman" w:hAnsi="Times New Roman" w:eastAsia="宋体"/>
          <w:sz w:val="28"/>
          <w:szCs w:val="28"/>
        </w:rPr>
        <w:t>甲方（甲方名称）</w:t>
      </w:r>
      <w:r>
        <w:rPr>
          <w:rFonts w:ascii="Times New Roman" w:hAnsi="Times New Roman" w:eastAsia="宋体"/>
          <w:sz w:val="28"/>
          <w:szCs w:val="28"/>
        </w:rPr>
        <w:t>与</w:t>
      </w:r>
      <w:r>
        <w:rPr>
          <w:rFonts w:hint="eastAsia" w:ascii="Times New Roman" w:hAnsi="Times New Roman" w:eastAsia="宋体"/>
          <w:sz w:val="28"/>
          <w:szCs w:val="28"/>
        </w:rPr>
        <w:t>乙方</w:t>
      </w:r>
      <w:r>
        <w:rPr>
          <w:rFonts w:ascii="Times New Roman" w:hAnsi="Times New Roman" w:eastAsia="宋体"/>
          <w:sz w:val="28"/>
          <w:szCs w:val="28"/>
        </w:rPr>
        <w:t>（</w:t>
      </w:r>
      <w:r>
        <w:rPr>
          <w:rFonts w:hint="eastAsia" w:ascii="Times New Roman" w:hAnsi="Times New Roman" w:eastAsia="宋体"/>
          <w:sz w:val="28"/>
          <w:szCs w:val="28"/>
        </w:rPr>
        <w:t>乙方</w:t>
      </w:r>
      <w:r>
        <w:rPr>
          <w:rFonts w:ascii="Times New Roman" w:hAnsi="Times New Roman" w:eastAsia="宋体"/>
          <w:sz w:val="28"/>
          <w:szCs w:val="28"/>
        </w:rPr>
        <w:t>名称）签订如下协议：</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第一条  </w:t>
      </w:r>
      <w:r>
        <w:rPr>
          <w:rFonts w:hint="eastAsia" w:ascii="Times New Roman" w:hAnsi="Times New Roman" w:eastAsia="宋体"/>
          <w:sz w:val="28"/>
          <w:szCs w:val="28"/>
        </w:rPr>
        <w:t>甲方</w:t>
      </w:r>
      <w:r>
        <w:rPr>
          <w:rFonts w:ascii="Times New Roman" w:hAnsi="Times New Roman" w:eastAsia="宋体"/>
          <w:sz w:val="28"/>
          <w:szCs w:val="28"/>
        </w:rPr>
        <w:t>和</w:t>
      </w:r>
      <w:r>
        <w:rPr>
          <w:rFonts w:hint="eastAsia" w:ascii="Times New Roman" w:hAnsi="Times New Roman" w:eastAsia="宋体"/>
          <w:sz w:val="28"/>
          <w:szCs w:val="28"/>
        </w:rPr>
        <w:t>乙方</w:t>
      </w:r>
      <w:r>
        <w:rPr>
          <w:rFonts w:ascii="Times New Roman" w:hAnsi="Times New Roman" w:eastAsia="宋体"/>
          <w:sz w:val="28"/>
          <w:szCs w:val="28"/>
        </w:rPr>
        <w:t>双方的权利和义务</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1. 严格遵守党和国家有关法律法规以及行业有关规定。</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2. 严格执行</w:t>
      </w:r>
      <w:r>
        <w:rPr>
          <w:rFonts w:hint="eastAsia" w:ascii="Times New Roman" w:hAnsi="Times New Roman" w:eastAsia="宋体"/>
          <w:sz w:val="28"/>
          <w:szCs w:val="28"/>
        </w:rPr>
        <w:t>合同</w:t>
      </w:r>
      <w:r>
        <w:rPr>
          <w:rFonts w:ascii="Times New Roman" w:hAnsi="Times New Roman" w:eastAsia="宋体"/>
          <w:sz w:val="28"/>
          <w:szCs w:val="28"/>
        </w:rPr>
        <w:t>，自觉按合同办事。</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3. 双方的业务及活动坚持公开、公正、诚信、透明的原则(除法律认定的商业秘密和合同文件另有规定之外)，不得损害国家和集体利益，不得违反工程建设的有关管理规章制度。</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4. 建立健全廉政制度，开展廉政教育，公布廉政告示举报电话，监督并认真查处违法违纪行为。</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5. 发现对方在业务活动中有违反廉政规定的行为，有及时提醒对方纠正的权利和义务。</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6. 发现对方严重违反本协议书条款的行为，有向其上级有关部门举报、建议给予处理并要求告知处理结果的权利。</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第二条  </w:t>
      </w:r>
      <w:r>
        <w:rPr>
          <w:rFonts w:hint="eastAsia" w:ascii="Times New Roman" w:hAnsi="Times New Roman" w:eastAsia="宋体"/>
          <w:sz w:val="28"/>
          <w:szCs w:val="28"/>
        </w:rPr>
        <w:t>甲方</w:t>
      </w:r>
      <w:r>
        <w:rPr>
          <w:rFonts w:ascii="Times New Roman" w:hAnsi="Times New Roman" w:eastAsia="宋体"/>
          <w:sz w:val="28"/>
          <w:szCs w:val="28"/>
        </w:rPr>
        <w:t>的义务</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1. </w:t>
      </w:r>
      <w:r>
        <w:rPr>
          <w:rFonts w:hint="eastAsia" w:ascii="Times New Roman" w:hAnsi="Times New Roman" w:eastAsia="宋体"/>
          <w:sz w:val="28"/>
          <w:szCs w:val="28"/>
        </w:rPr>
        <w:t>甲方</w:t>
      </w:r>
      <w:r>
        <w:rPr>
          <w:rFonts w:ascii="Times New Roman" w:hAnsi="Times New Roman" w:eastAsia="宋体"/>
          <w:sz w:val="28"/>
          <w:szCs w:val="28"/>
        </w:rPr>
        <w:t>工作人员不得索要或接受</w:t>
      </w:r>
      <w:r>
        <w:rPr>
          <w:rFonts w:hint="eastAsia" w:ascii="Times New Roman" w:hAnsi="Times New Roman" w:eastAsia="宋体"/>
          <w:sz w:val="28"/>
          <w:szCs w:val="28"/>
        </w:rPr>
        <w:t>乙方</w:t>
      </w:r>
      <w:r>
        <w:rPr>
          <w:rFonts w:ascii="Times New Roman" w:hAnsi="Times New Roman" w:eastAsia="宋体"/>
          <w:sz w:val="28"/>
          <w:szCs w:val="28"/>
        </w:rPr>
        <w:t>的礼金、有价证券和贵重物品，不得在</w:t>
      </w:r>
      <w:r>
        <w:rPr>
          <w:rFonts w:hint="eastAsia" w:ascii="Times New Roman" w:hAnsi="Times New Roman" w:eastAsia="宋体"/>
          <w:sz w:val="28"/>
          <w:szCs w:val="28"/>
        </w:rPr>
        <w:t>乙方</w:t>
      </w:r>
      <w:r>
        <w:rPr>
          <w:rFonts w:ascii="Times New Roman" w:hAnsi="Times New Roman" w:eastAsia="宋体"/>
          <w:sz w:val="28"/>
          <w:szCs w:val="28"/>
        </w:rPr>
        <w:t>处报销任何应由</w:t>
      </w:r>
      <w:r>
        <w:rPr>
          <w:rFonts w:hint="eastAsia" w:ascii="Times New Roman" w:hAnsi="Times New Roman" w:eastAsia="宋体"/>
          <w:sz w:val="28"/>
          <w:szCs w:val="28"/>
        </w:rPr>
        <w:t>甲方</w:t>
      </w:r>
      <w:r>
        <w:rPr>
          <w:rFonts w:ascii="Times New Roman" w:hAnsi="Times New Roman" w:eastAsia="宋体"/>
          <w:sz w:val="28"/>
          <w:szCs w:val="28"/>
        </w:rPr>
        <w:t>或个人支付的费用等。</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2. </w:t>
      </w:r>
      <w:r>
        <w:rPr>
          <w:rFonts w:hint="eastAsia" w:ascii="Times New Roman" w:hAnsi="Times New Roman" w:eastAsia="宋体"/>
          <w:sz w:val="28"/>
          <w:szCs w:val="28"/>
        </w:rPr>
        <w:t>甲方</w:t>
      </w:r>
      <w:r>
        <w:rPr>
          <w:rFonts w:ascii="Times New Roman" w:hAnsi="Times New Roman" w:eastAsia="宋体"/>
          <w:sz w:val="28"/>
          <w:szCs w:val="28"/>
        </w:rPr>
        <w:t>工作人员不得参加</w:t>
      </w:r>
      <w:r>
        <w:rPr>
          <w:rFonts w:hint="eastAsia" w:ascii="Times New Roman" w:hAnsi="Times New Roman" w:eastAsia="宋体"/>
          <w:sz w:val="28"/>
          <w:szCs w:val="28"/>
        </w:rPr>
        <w:t>乙方</w:t>
      </w:r>
      <w:r>
        <w:rPr>
          <w:rFonts w:ascii="Times New Roman" w:hAnsi="Times New Roman" w:eastAsia="宋体"/>
          <w:sz w:val="28"/>
          <w:szCs w:val="28"/>
        </w:rPr>
        <w:t>安排的超标准宴请和娱乐活动；不得接受</w:t>
      </w:r>
      <w:r>
        <w:rPr>
          <w:rFonts w:hint="eastAsia" w:ascii="Times New Roman" w:hAnsi="Times New Roman" w:eastAsia="宋体"/>
          <w:sz w:val="28"/>
          <w:szCs w:val="28"/>
        </w:rPr>
        <w:t>乙方</w:t>
      </w:r>
      <w:r>
        <w:rPr>
          <w:rFonts w:ascii="Times New Roman" w:hAnsi="Times New Roman" w:eastAsia="宋体"/>
          <w:sz w:val="28"/>
          <w:szCs w:val="28"/>
        </w:rPr>
        <w:t>提供的通讯工具、交通工具和高档办公用品等。</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3. </w:t>
      </w:r>
      <w:r>
        <w:rPr>
          <w:rFonts w:hint="eastAsia" w:ascii="Times New Roman" w:hAnsi="Times New Roman" w:eastAsia="宋体"/>
          <w:sz w:val="28"/>
          <w:szCs w:val="28"/>
        </w:rPr>
        <w:t>甲方</w:t>
      </w:r>
      <w:r>
        <w:rPr>
          <w:rFonts w:ascii="Times New Roman" w:hAnsi="Times New Roman" w:eastAsia="宋体"/>
          <w:sz w:val="28"/>
          <w:szCs w:val="28"/>
        </w:rPr>
        <w:t>工作人员不得要求或者接受</w:t>
      </w:r>
      <w:r>
        <w:rPr>
          <w:rFonts w:hint="eastAsia" w:ascii="Times New Roman" w:hAnsi="Times New Roman" w:eastAsia="宋体"/>
          <w:sz w:val="28"/>
          <w:szCs w:val="28"/>
        </w:rPr>
        <w:t>乙方</w:t>
      </w:r>
      <w:r>
        <w:rPr>
          <w:rFonts w:ascii="Times New Roman" w:hAnsi="Times New Roman" w:eastAsia="宋体"/>
          <w:sz w:val="28"/>
          <w:szCs w:val="28"/>
        </w:rPr>
        <w:t>为其住房装修、婚丧嫁娶活动、配偶子女的工作安排以及出国出境、旅游提供方便等。</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4. </w:t>
      </w:r>
      <w:r>
        <w:rPr>
          <w:rFonts w:hint="eastAsia" w:ascii="Times New Roman" w:hAnsi="Times New Roman" w:eastAsia="宋体"/>
          <w:sz w:val="28"/>
          <w:szCs w:val="28"/>
        </w:rPr>
        <w:t>甲方</w:t>
      </w:r>
      <w:r>
        <w:rPr>
          <w:rFonts w:ascii="Times New Roman" w:hAnsi="Times New Roman" w:eastAsia="宋体"/>
          <w:sz w:val="28"/>
          <w:szCs w:val="28"/>
        </w:rPr>
        <w:t>工作人员及其配偶、子女不得从事与</w:t>
      </w:r>
      <w:r>
        <w:rPr>
          <w:rFonts w:hint="eastAsia" w:ascii="Times New Roman" w:hAnsi="Times New Roman" w:eastAsia="宋体"/>
          <w:sz w:val="28"/>
          <w:szCs w:val="28"/>
        </w:rPr>
        <w:t>乙方</w:t>
      </w:r>
      <w:r>
        <w:rPr>
          <w:rFonts w:ascii="Times New Roman" w:hAnsi="Times New Roman" w:eastAsia="宋体"/>
          <w:sz w:val="28"/>
          <w:szCs w:val="28"/>
        </w:rPr>
        <w:t>施工合同有关的经济活动。</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第三条  </w:t>
      </w:r>
      <w:r>
        <w:rPr>
          <w:rFonts w:hint="eastAsia" w:ascii="Times New Roman" w:hAnsi="Times New Roman" w:eastAsia="宋体"/>
          <w:sz w:val="28"/>
          <w:szCs w:val="28"/>
        </w:rPr>
        <w:t>乙方</w:t>
      </w:r>
      <w:r>
        <w:rPr>
          <w:rFonts w:ascii="Times New Roman" w:hAnsi="Times New Roman" w:eastAsia="宋体"/>
          <w:sz w:val="28"/>
          <w:szCs w:val="28"/>
        </w:rPr>
        <w:t>的义务</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1. </w:t>
      </w:r>
      <w:r>
        <w:rPr>
          <w:rFonts w:hint="eastAsia" w:ascii="Times New Roman" w:hAnsi="Times New Roman" w:eastAsia="宋体"/>
          <w:sz w:val="28"/>
          <w:szCs w:val="28"/>
        </w:rPr>
        <w:t>乙方</w:t>
      </w:r>
      <w:r>
        <w:rPr>
          <w:rFonts w:ascii="Times New Roman" w:hAnsi="Times New Roman" w:eastAsia="宋体"/>
          <w:sz w:val="28"/>
          <w:szCs w:val="28"/>
        </w:rPr>
        <w:t>不得向</w:t>
      </w:r>
      <w:r>
        <w:rPr>
          <w:rFonts w:hint="eastAsia" w:ascii="Times New Roman" w:hAnsi="Times New Roman" w:eastAsia="宋体"/>
          <w:sz w:val="28"/>
          <w:szCs w:val="28"/>
        </w:rPr>
        <w:t>甲方</w:t>
      </w:r>
      <w:r>
        <w:rPr>
          <w:rFonts w:ascii="Times New Roman" w:hAnsi="Times New Roman" w:eastAsia="宋体"/>
          <w:sz w:val="28"/>
          <w:szCs w:val="28"/>
        </w:rPr>
        <w:t>工作人员行贿，不得以任何理由向</w:t>
      </w:r>
      <w:r>
        <w:rPr>
          <w:rFonts w:hint="eastAsia" w:ascii="Times New Roman" w:hAnsi="Times New Roman" w:eastAsia="宋体"/>
          <w:sz w:val="28"/>
          <w:szCs w:val="28"/>
        </w:rPr>
        <w:t>甲方</w:t>
      </w:r>
      <w:r>
        <w:rPr>
          <w:rFonts w:ascii="Times New Roman" w:hAnsi="Times New Roman" w:eastAsia="宋体"/>
          <w:sz w:val="28"/>
          <w:szCs w:val="28"/>
        </w:rPr>
        <w:t>工作人员馈赠礼金、有价证券、贵重礼品。</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2. </w:t>
      </w:r>
      <w:r>
        <w:rPr>
          <w:rFonts w:hint="eastAsia" w:ascii="Times New Roman" w:hAnsi="Times New Roman" w:eastAsia="宋体"/>
          <w:sz w:val="28"/>
          <w:szCs w:val="28"/>
        </w:rPr>
        <w:t>乙方</w:t>
      </w:r>
      <w:r>
        <w:rPr>
          <w:rFonts w:ascii="Times New Roman" w:hAnsi="Times New Roman" w:eastAsia="宋体"/>
          <w:sz w:val="28"/>
          <w:szCs w:val="28"/>
        </w:rPr>
        <w:t>不得以任何名义为</w:t>
      </w:r>
      <w:r>
        <w:rPr>
          <w:rFonts w:hint="eastAsia" w:ascii="Times New Roman" w:hAnsi="Times New Roman" w:eastAsia="宋体"/>
          <w:sz w:val="28"/>
          <w:szCs w:val="28"/>
        </w:rPr>
        <w:t>甲方</w:t>
      </w:r>
      <w:r>
        <w:rPr>
          <w:rFonts w:ascii="Times New Roman" w:hAnsi="Times New Roman" w:eastAsia="宋体"/>
          <w:sz w:val="28"/>
          <w:szCs w:val="28"/>
        </w:rPr>
        <w:t>工作人员报销应由</w:t>
      </w:r>
      <w:r>
        <w:rPr>
          <w:rFonts w:hint="eastAsia" w:ascii="Times New Roman" w:hAnsi="Times New Roman" w:eastAsia="宋体"/>
          <w:sz w:val="28"/>
          <w:szCs w:val="28"/>
        </w:rPr>
        <w:t>甲方</w:t>
      </w:r>
      <w:r>
        <w:rPr>
          <w:rFonts w:ascii="Times New Roman" w:hAnsi="Times New Roman" w:eastAsia="宋体"/>
          <w:sz w:val="28"/>
          <w:szCs w:val="28"/>
        </w:rPr>
        <w:t>单位或个人支付的任何费用。</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3. </w:t>
      </w:r>
      <w:r>
        <w:rPr>
          <w:rFonts w:hint="eastAsia" w:ascii="Times New Roman" w:hAnsi="Times New Roman" w:eastAsia="宋体"/>
          <w:sz w:val="28"/>
          <w:szCs w:val="28"/>
        </w:rPr>
        <w:t>乙方</w:t>
      </w:r>
      <w:r>
        <w:rPr>
          <w:rFonts w:ascii="Times New Roman" w:hAnsi="Times New Roman" w:eastAsia="宋体"/>
          <w:sz w:val="28"/>
          <w:szCs w:val="28"/>
        </w:rPr>
        <w:t>不得以任何理由安排</w:t>
      </w:r>
      <w:r>
        <w:rPr>
          <w:rFonts w:hint="eastAsia" w:ascii="Times New Roman" w:hAnsi="Times New Roman" w:eastAsia="宋体"/>
          <w:sz w:val="28"/>
          <w:szCs w:val="28"/>
        </w:rPr>
        <w:t>甲方</w:t>
      </w:r>
      <w:r>
        <w:rPr>
          <w:rFonts w:ascii="Times New Roman" w:hAnsi="Times New Roman" w:eastAsia="宋体"/>
          <w:sz w:val="28"/>
          <w:szCs w:val="28"/>
        </w:rPr>
        <w:t>工作人员参加超标准宴请和娱乐活动。</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4. </w:t>
      </w:r>
      <w:r>
        <w:rPr>
          <w:rFonts w:hint="eastAsia" w:ascii="Times New Roman" w:hAnsi="Times New Roman" w:eastAsia="宋体"/>
          <w:sz w:val="28"/>
          <w:szCs w:val="28"/>
        </w:rPr>
        <w:t>乙方</w:t>
      </w:r>
      <w:r>
        <w:rPr>
          <w:rFonts w:ascii="Times New Roman" w:hAnsi="Times New Roman" w:eastAsia="宋体"/>
          <w:sz w:val="28"/>
          <w:szCs w:val="28"/>
        </w:rPr>
        <w:t>不得为</w:t>
      </w:r>
      <w:r>
        <w:rPr>
          <w:rFonts w:hint="eastAsia" w:ascii="Times New Roman" w:hAnsi="Times New Roman" w:eastAsia="宋体"/>
          <w:sz w:val="28"/>
          <w:szCs w:val="28"/>
        </w:rPr>
        <w:t>甲方</w:t>
      </w:r>
      <w:r>
        <w:rPr>
          <w:rFonts w:ascii="Times New Roman" w:hAnsi="Times New Roman" w:eastAsia="宋体"/>
          <w:sz w:val="28"/>
          <w:szCs w:val="28"/>
        </w:rPr>
        <w:t>工作人员购置或提供通讯工具、交通工具和高档办公品等。</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第四条  违约责任</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1. </w:t>
      </w:r>
      <w:r>
        <w:rPr>
          <w:rFonts w:hint="eastAsia" w:ascii="Times New Roman" w:hAnsi="Times New Roman" w:eastAsia="宋体"/>
          <w:sz w:val="28"/>
          <w:szCs w:val="28"/>
        </w:rPr>
        <w:t>甲方</w:t>
      </w:r>
      <w:r>
        <w:rPr>
          <w:rFonts w:ascii="Times New Roman" w:hAnsi="Times New Roman" w:eastAsia="宋体"/>
          <w:sz w:val="28"/>
          <w:szCs w:val="28"/>
        </w:rPr>
        <w:t>及其工作人员违反本协议第一、二条，按管理权限，依据有关规定给予党纪、政纪或组织处理；涉嫌犯罪的，移交司法机关追究刑事责任；给</w:t>
      </w:r>
      <w:r>
        <w:rPr>
          <w:rFonts w:hint="eastAsia" w:ascii="Times New Roman" w:hAnsi="Times New Roman" w:eastAsia="宋体"/>
          <w:sz w:val="28"/>
          <w:szCs w:val="28"/>
        </w:rPr>
        <w:t>乙方</w:t>
      </w:r>
      <w:r>
        <w:rPr>
          <w:rFonts w:ascii="Times New Roman" w:hAnsi="Times New Roman" w:eastAsia="宋体"/>
          <w:sz w:val="28"/>
          <w:szCs w:val="28"/>
        </w:rPr>
        <w:t>单位造成经济损失的，应予以赔偿。</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2. </w:t>
      </w:r>
      <w:r>
        <w:rPr>
          <w:rFonts w:hint="eastAsia" w:ascii="Times New Roman" w:hAnsi="Times New Roman" w:eastAsia="宋体"/>
          <w:sz w:val="28"/>
          <w:szCs w:val="28"/>
        </w:rPr>
        <w:t>乙方</w:t>
      </w:r>
      <w:r>
        <w:rPr>
          <w:rFonts w:ascii="Times New Roman" w:hAnsi="Times New Roman" w:eastAsia="宋体"/>
          <w:sz w:val="28"/>
          <w:szCs w:val="28"/>
        </w:rPr>
        <w:t>及其工作人员违反本协议第一、三条，按管理权限，依据有关规定给予党纪、政纪或组织处理；给</w:t>
      </w:r>
      <w:r>
        <w:rPr>
          <w:rFonts w:hint="eastAsia" w:ascii="Times New Roman" w:hAnsi="Times New Roman" w:eastAsia="宋体"/>
          <w:sz w:val="28"/>
          <w:szCs w:val="28"/>
        </w:rPr>
        <w:t>甲方</w:t>
      </w:r>
      <w:r>
        <w:rPr>
          <w:rFonts w:ascii="Times New Roman" w:hAnsi="Times New Roman" w:eastAsia="宋体"/>
          <w:sz w:val="28"/>
          <w:szCs w:val="28"/>
        </w:rPr>
        <w:t>单位造成经济损失的，应予以赔偿；情节严重的，</w:t>
      </w:r>
      <w:r>
        <w:rPr>
          <w:rFonts w:hint="eastAsia" w:ascii="Times New Roman" w:hAnsi="Times New Roman" w:eastAsia="宋体"/>
          <w:sz w:val="28"/>
          <w:szCs w:val="28"/>
        </w:rPr>
        <w:t>甲方</w:t>
      </w:r>
      <w:r>
        <w:rPr>
          <w:rFonts w:ascii="Times New Roman" w:hAnsi="Times New Roman" w:eastAsia="宋体"/>
          <w:sz w:val="28"/>
          <w:szCs w:val="28"/>
        </w:rPr>
        <w:t>将建议主管部门给予</w:t>
      </w:r>
      <w:r>
        <w:rPr>
          <w:rFonts w:hint="eastAsia" w:ascii="Times New Roman" w:hAnsi="Times New Roman" w:eastAsia="宋体"/>
          <w:sz w:val="28"/>
          <w:szCs w:val="28"/>
        </w:rPr>
        <w:t>乙方</w:t>
      </w:r>
      <w:r>
        <w:rPr>
          <w:rFonts w:ascii="Times New Roman" w:hAnsi="Times New Roman" w:eastAsia="宋体"/>
          <w:sz w:val="28"/>
          <w:szCs w:val="28"/>
        </w:rPr>
        <w:t>一至三年内不得进入其主管的市场的处罚。</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第五条本协议书作为</w:t>
      </w:r>
      <w:r>
        <w:rPr>
          <w:rFonts w:hint="eastAsia" w:ascii="Times New Roman" w:hAnsi="Times New Roman" w:eastAsia="宋体"/>
          <w:sz w:val="28"/>
          <w:szCs w:val="28"/>
        </w:rPr>
        <w:t>合同</w:t>
      </w:r>
      <w:r>
        <w:rPr>
          <w:rFonts w:ascii="Times New Roman" w:hAnsi="Times New Roman" w:eastAsia="宋体"/>
          <w:sz w:val="28"/>
          <w:szCs w:val="28"/>
        </w:rPr>
        <w:t>附件，与合同具有同等的法律效力。</w:t>
      </w:r>
    </w:p>
    <w:p>
      <w:pPr>
        <w:ind w:firstLine="482"/>
        <w:rPr>
          <w:rFonts w:ascii="Times New Roman" w:hAnsi="Times New Roman" w:eastAsia="宋体"/>
          <w:bCs/>
          <w:snapToGrid w:val="0"/>
          <w:sz w:val="28"/>
          <w:szCs w:val="28"/>
        </w:rPr>
      </w:pPr>
    </w:p>
    <w:p>
      <w:pPr>
        <w:tabs>
          <w:tab w:val="left" w:pos="5400"/>
        </w:tabs>
        <w:spacing w:line="360" w:lineRule="auto"/>
        <w:ind w:firstLine="496" w:firstLineChars="177"/>
        <w:rPr>
          <w:rFonts w:ascii="Times New Roman" w:hAnsi="Times New Roman" w:eastAsia="宋体"/>
          <w:sz w:val="28"/>
          <w:szCs w:val="28"/>
        </w:rPr>
      </w:pPr>
      <w:r>
        <w:rPr>
          <w:rFonts w:ascii="Times New Roman" w:hAnsi="Times New Roman" w:eastAsia="宋体"/>
          <w:sz w:val="28"/>
          <w:szCs w:val="28"/>
        </w:rPr>
        <w:t>甲方</w:t>
      </w:r>
      <w:r>
        <w:rPr>
          <w:rFonts w:hint="eastAsia" w:ascii="Times New Roman" w:hAnsi="Times New Roman" w:eastAsia="宋体"/>
          <w:sz w:val="28"/>
          <w:szCs w:val="28"/>
        </w:rPr>
        <w:t>：</w:t>
      </w:r>
      <w:r>
        <w:rPr>
          <w:rFonts w:ascii="Times New Roman" w:hAnsi="Times New Roman" w:eastAsia="宋体"/>
          <w:sz w:val="28"/>
          <w:szCs w:val="28"/>
        </w:rPr>
        <w:tab/>
      </w:r>
      <w:r>
        <w:rPr>
          <w:rFonts w:ascii="Times New Roman" w:hAnsi="Times New Roman" w:eastAsia="宋体"/>
          <w:sz w:val="28"/>
          <w:szCs w:val="28"/>
        </w:rPr>
        <w:t>乙方</w:t>
      </w:r>
      <w:r>
        <w:rPr>
          <w:rFonts w:hint="eastAsia" w:ascii="Times New Roman" w:hAnsi="Times New Roman" w:eastAsia="宋体"/>
          <w:sz w:val="28"/>
          <w:szCs w:val="28"/>
        </w:rPr>
        <w:t>：</w:t>
      </w:r>
    </w:p>
    <w:p>
      <w:pPr>
        <w:tabs>
          <w:tab w:val="left" w:pos="5400"/>
        </w:tabs>
        <w:ind w:firstLine="496" w:firstLineChars="177"/>
        <w:rPr>
          <w:rFonts w:ascii="Times New Roman" w:hAnsi="Times New Roman" w:eastAsia="宋体"/>
          <w:sz w:val="28"/>
          <w:szCs w:val="28"/>
        </w:rPr>
      </w:pPr>
      <w:r>
        <w:rPr>
          <w:rFonts w:ascii="Times New Roman" w:hAnsi="Times New Roman" w:eastAsia="宋体"/>
          <w:sz w:val="28"/>
          <w:szCs w:val="28"/>
        </w:rPr>
        <w:tab/>
      </w:r>
    </w:p>
    <w:p>
      <w:pPr>
        <w:tabs>
          <w:tab w:val="left" w:pos="5400"/>
        </w:tabs>
        <w:spacing w:line="360" w:lineRule="auto"/>
        <w:ind w:firstLine="496" w:firstLineChars="177"/>
        <w:rPr>
          <w:rFonts w:ascii="Times New Roman" w:hAnsi="Times New Roman" w:eastAsia="宋体"/>
          <w:sz w:val="28"/>
          <w:szCs w:val="28"/>
        </w:rPr>
      </w:pPr>
      <w:r>
        <w:rPr>
          <w:rFonts w:ascii="Times New Roman" w:hAnsi="Times New Roman" w:eastAsia="宋体"/>
          <w:sz w:val="28"/>
          <w:szCs w:val="28"/>
        </w:rPr>
        <w:t>法定代表人或</w:t>
      </w:r>
      <w:r>
        <w:rPr>
          <w:rFonts w:ascii="Times New Roman" w:hAnsi="Times New Roman" w:eastAsia="宋体"/>
          <w:sz w:val="28"/>
          <w:szCs w:val="28"/>
        </w:rPr>
        <w:tab/>
      </w:r>
      <w:r>
        <w:rPr>
          <w:rFonts w:ascii="Times New Roman" w:hAnsi="Times New Roman" w:eastAsia="宋体"/>
          <w:sz w:val="28"/>
          <w:szCs w:val="28"/>
        </w:rPr>
        <w:t>法定代表人或</w:t>
      </w:r>
    </w:p>
    <w:p>
      <w:pPr>
        <w:tabs>
          <w:tab w:val="left" w:pos="5400"/>
        </w:tabs>
        <w:spacing w:line="360" w:lineRule="auto"/>
        <w:ind w:firstLine="496" w:firstLineChars="177"/>
        <w:rPr>
          <w:rFonts w:ascii="Times New Roman" w:hAnsi="Times New Roman" w:eastAsia="宋体"/>
          <w:sz w:val="28"/>
          <w:szCs w:val="28"/>
        </w:rPr>
      </w:pPr>
      <w:r>
        <w:rPr>
          <w:rFonts w:ascii="Times New Roman" w:hAnsi="Times New Roman" w:eastAsia="宋体"/>
          <w:sz w:val="28"/>
          <w:szCs w:val="28"/>
        </w:rPr>
        <w:t>授权代表签字：</w:t>
      </w:r>
      <w:r>
        <w:rPr>
          <w:rFonts w:ascii="Times New Roman" w:hAnsi="Times New Roman" w:eastAsia="宋体"/>
          <w:sz w:val="28"/>
          <w:szCs w:val="28"/>
        </w:rPr>
        <w:tab/>
      </w:r>
      <w:r>
        <w:rPr>
          <w:rFonts w:ascii="Times New Roman" w:hAnsi="Times New Roman" w:eastAsia="宋体"/>
          <w:sz w:val="28"/>
          <w:szCs w:val="28"/>
        </w:rPr>
        <w:t xml:space="preserve">授权代表签字： </w:t>
      </w:r>
    </w:p>
    <w:p>
      <w:pPr>
        <w:tabs>
          <w:tab w:val="left" w:pos="5400"/>
        </w:tabs>
        <w:spacing w:line="360" w:lineRule="auto"/>
        <w:ind w:firstLine="496" w:firstLineChars="177"/>
        <w:rPr>
          <w:rFonts w:ascii="Times New Roman" w:hAnsi="Times New Roman" w:eastAsia="宋体"/>
          <w:sz w:val="28"/>
          <w:szCs w:val="28"/>
        </w:rPr>
      </w:pPr>
    </w:p>
    <w:p>
      <w:pPr>
        <w:spacing w:line="360" w:lineRule="auto"/>
        <w:ind w:firstLine="240" w:firstLineChars="100"/>
        <w:rPr>
          <w:rFonts w:ascii="宋体" w:hAnsi="宋体"/>
          <w:szCs w:val="24"/>
        </w:rPr>
      </w:pPr>
      <w:r>
        <w:rPr>
          <w:rFonts w:hint="eastAsia" w:ascii="宋体" w:hAnsi="宋体"/>
          <w:szCs w:val="24"/>
          <w:lang w:val="en-US" w:eastAsia="zh-CN"/>
        </w:rPr>
        <w:t xml:space="preserve">    </w:t>
      </w:r>
      <w:r>
        <w:rPr>
          <w:rFonts w:hint="eastAsia" w:ascii="宋体" w:hAnsi="宋体"/>
          <w:szCs w:val="24"/>
        </w:rPr>
        <w:t xml:space="preserve">年 </w:t>
      </w:r>
      <w:r>
        <w:rPr>
          <w:rFonts w:hint="eastAsia" w:ascii="宋体" w:hAnsi="宋体"/>
          <w:szCs w:val="24"/>
          <w:lang w:val="en-US" w:eastAsia="zh-CN"/>
        </w:rPr>
        <w:t xml:space="preserve">   </w:t>
      </w:r>
      <w:r>
        <w:rPr>
          <w:rFonts w:hint="eastAsia" w:ascii="宋体" w:hAnsi="宋体"/>
          <w:szCs w:val="24"/>
        </w:rPr>
        <w:t xml:space="preserve">月 </w:t>
      </w:r>
      <w:r>
        <w:rPr>
          <w:rFonts w:hint="eastAsia" w:ascii="宋体" w:hAnsi="宋体"/>
          <w:szCs w:val="24"/>
          <w:lang w:val="en-US" w:eastAsia="zh-CN"/>
        </w:rPr>
        <w:t xml:space="preserve">  </w:t>
      </w:r>
      <w:r>
        <w:rPr>
          <w:rFonts w:hint="eastAsia" w:ascii="宋体" w:hAnsi="宋体"/>
          <w:szCs w:val="24"/>
        </w:rPr>
        <w:t xml:space="preserve">日       </w:t>
      </w:r>
      <w:r>
        <w:rPr>
          <w:rFonts w:hint="eastAsia" w:ascii="宋体" w:hAnsi="宋体"/>
          <w:szCs w:val="24"/>
          <w:lang w:val="en-US" w:eastAsia="zh-CN"/>
        </w:rPr>
        <w:t xml:space="preserve">       </w:t>
      </w:r>
      <w:r>
        <w:rPr>
          <w:rFonts w:hint="eastAsia" w:ascii="宋体" w:hAnsi="宋体"/>
          <w:szCs w:val="24"/>
        </w:rPr>
        <w:t xml:space="preserve">           </w:t>
      </w:r>
      <w:r>
        <w:rPr>
          <w:rFonts w:hint="eastAsia" w:ascii="宋体" w:hAnsi="宋体"/>
          <w:szCs w:val="24"/>
          <w:lang w:val="en-US" w:eastAsia="zh-CN"/>
        </w:rPr>
        <w:t xml:space="preserve">      </w:t>
      </w:r>
      <w:r>
        <w:rPr>
          <w:rFonts w:hint="eastAsia" w:ascii="宋体" w:hAnsi="宋体"/>
          <w:szCs w:val="24"/>
        </w:rPr>
        <w:t xml:space="preserve">年 </w:t>
      </w:r>
      <w:r>
        <w:rPr>
          <w:rFonts w:hint="eastAsia" w:ascii="宋体" w:hAnsi="宋体"/>
          <w:szCs w:val="24"/>
          <w:lang w:val="en-US" w:eastAsia="zh-CN"/>
        </w:rPr>
        <w:t xml:space="preserve">  </w:t>
      </w:r>
      <w:r>
        <w:rPr>
          <w:rFonts w:hint="eastAsia" w:ascii="宋体" w:hAnsi="宋体"/>
          <w:szCs w:val="24"/>
        </w:rPr>
        <w:t xml:space="preserve">月 </w:t>
      </w:r>
      <w:r>
        <w:rPr>
          <w:rFonts w:hint="eastAsia" w:ascii="宋体" w:hAnsi="宋体"/>
          <w:szCs w:val="24"/>
          <w:lang w:val="en-US" w:eastAsia="zh-CN"/>
        </w:rPr>
        <w:t xml:space="preserve">  </w:t>
      </w:r>
      <w:r>
        <w:rPr>
          <w:rFonts w:hint="eastAsia" w:ascii="宋体" w:hAnsi="宋体"/>
          <w:szCs w:val="24"/>
        </w:rPr>
        <w:t xml:space="preserve"> 日</w:t>
      </w:r>
    </w:p>
    <w:p>
      <w:pPr>
        <w:ind w:firstLine="720" w:firstLineChars="300"/>
        <w:rPr>
          <w:rFonts w:ascii="宋体" w:hAnsi="宋体"/>
          <w:szCs w:val="24"/>
        </w:rPr>
        <w:sectPr>
          <w:pgSz w:w="11906" w:h="16838"/>
          <w:pgMar w:top="1440" w:right="1474" w:bottom="1440" w:left="1474" w:header="851" w:footer="992" w:gutter="0"/>
          <w:pgNumType w:fmt="decimal"/>
          <w:cols w:space="720" w:num="1"/>
          <w:docGrid w:type="lines" w:linePitch="312" w:charSpace="-4916"/>
        </w:sectPr>
      </w:pPr>
    </w:p>
    <w:bookmarkEnd w:id="202"/>
    <w:bookmarkEnd w:id="203"/>
    <w:bookmarkEnd w:id="204"/>
    <w:bookmarkEnd w:id="205"/>
    <w:bookmarkEnd w:id="206"/>
    <w:bookmarkEnd w:id="207"/>
    <w:bookmarkEnd w:id="208"/>
    <w:bookmarkEnd w:id="209"/>
    <w:bookmarkEnd w:id="210"/>
    <w:bookmarkEnd w:id="211"/>
    <w:bookmarkEnd w:id="212"/>
    <w:bookmarkEnd w:id="213"/>
    <w:p>
      <w:pPr>
        <w:pStyle w:val="3"/>
        <w:jc w:val="center"/>
        <w:rPr>
          <w:bCs/>
          <w:szCs w:val="30"/>
        </w:rPr>
      </w:pPr>
      <w:bookmarkStart w:id="230" w:name="_Toc4907"/>
      <w:bookmarkStart w:id="231" w:name="_Toc21261"/>
      <w:bookmarkStart w:id="232" w:name="_Toc20599"/>
      <w:bookmarkStart w:id="233" w:name="_Toc45613986"/>
      <w:bookmarkStart w:id="234" w:name="_Toc30703"/>
      <w:bookmarkStart w:id="235" w:name="_Toc12564"/>
      <w:r>
        <w:rPr>
          <w:rFonts w:hint="eastAsia"/>
          <w:szCs w:val="30"/>
          <w:lang w:val="en-US" w:eastAsia="zh-CN"/>
        </w:rPr>
        <w:t xml:space="preserve">第三节 </w:t>
      </w:r>
      <w:r>
        <w:rPr>
          <w:rFonts w:hint="eastAsia"/>
          <w:szCs w:val="30"/>
        </w:rPr>
        <w:t>施工</w:t>
      </w:r>
      <w:r>
        <w:rPr>
          <w:rFonts w:hint="eastAsia"/>
          <w:bCs/>
          <w:szCs w:val="30"/>
        </w:rPr>
        <w:t>安全协议书</w:t>
      </w:r>
    </w:p>
    <w:p>
      <w:pPr>
        <w:spacing w:line="300" w:lineRule="auto"/>
        <w:jc w:val="center"/>
        <w:rPr>
          <w:rFonts w:ascii="宋体" w:hAnsi="宋体"/>
          <w:b/>
          <w:bCs/>
          <w:sz w:val="30"/>
          <w:szCs w:val="30"/>
        </w:rPr>
      </w:pPr>
    </w:p>
    <w:p>
      <w:pPr>
        <w:spacing w:line="360" w:lineRule="auto"/>
        <w:rPr>
          <w:rFonts w:ascii="宋体" w:hAnsi="宋体"/>
          <w:b/>
          <w:szCs w:val="24"/>
        </w:rPr>
      </w:pPr>
      <w:r>
        <w:rPr>
          <w:rFonts w:hint="eastAsia" w:ascii="宋体" w:hAnsi="宋体"/>
          <w:b/>
          <w:szCs w:val="24"/>
        </w:rPr>
        <w:t>甲方：</w:t>
      </w:r>
      <w:r>
        <w:rPr>
          <w:rFonts w:hint="eastAsia" w:ascii="宋体" w:hAnsi="宋体"/>
          <w:b/>
          <w:bCs/>
          <w:szCs w:val="24"/>
        </w:rPr>
        <w:t>四川省能投攀枝花水电开发有限公司</w:t>
      </w:r>
    </w:p>
    <w:p>
      <w:pPr>
        <w:spacing w:line="360" w:lineRule="auto"/>
        <w:rPr>
          <w:rFonts w:ascii="宋体" w:hAnsi="宋体"/>
          <w:bCs/>
          <w:szCs w:val="24"/>
          <w:lang w:val="en-US"/>
        </w:rPr>
      </w:pPr>
      <w:r>
        <w:rPr>
          <w:rFonts w:hint="eastAsia" w:ascii="宋体" w:hAnsi="宋体"/>
          <w:b/>
          <w:szCs w:val="24"/>
        </w:rPr>
        <w:t>乙方：</w:t>
      </w:r>
      <w:r>
        <w:rPr>
          <w:rFonts w:hint="eastAsia" w:ascii="宋体" w:hAnsi="宋体"/>
          <w:b/>
          <w:szCs w:val="24"/>
          <w:lang w:val="en-US" w:eastAsia="zh-CN"/>
        </w:rPr>
        <w:t xml:space="preserve">                                 </w:t>
      </w:r>
    </w:p>
    <w:p>
      <w:pPr>
        <w:autoSpaceDE w:val="0"/>
        <w:autoSpaceDN w:val="0"/>
        <w:spacing w:line="480" w:lineRule="exact"/>
        <w:ind w:firstLine="480" w:firstLineChars="200"/>
        <w:rPr>
          <w:rFonts w:ascii="宋体" w:hAnsi="宋体" w:cs="宋体"/>
          <w:szCs w:val="24"/>
          <w:lang w:val="zh-CN"/>
        </w:rPr>
      </w:pPr>
      <w:r>
        <w:rPr>
          <w:rFonts w:hint="eastAsia" w:ascii="宋体" w:hAnsi="宋体" w:cs="宋体"/>
          <w:szCs w:val="24"/>
          <w:lang w:val="zh-CN"/>
        </w:rPr>
        <w:t>为了进一步明确甲乙双方安全生产职责、权利和义务，切实搞好工程建设的安全文明生产，根据国家《中华人民共和国安全生产法》、《建设工程安全生产管理条例》等相关法律法规和行业规定以及甲乙双方签订的</w:t>
      </w:r>
      <w:r>
        <w:rPr>
          <w:rFonts w:hint="eastAsia" w:ascii="宋体" w:hAnsi="宋体" w:cs="宋体"/>
          <w:szCs w:val="24"/>
          <w:u w:val="thick"/>
          <w:lang w:val="en-US" w:eastAsia="zh-CN"/>
        </w:rPr>
        <w:t xml:space="preserve">                       </w:t>
      </w:r>
      <w:r>
        <w:rPr>
          <w:rFonts w:ascii="宋体" w:hAnsi="宋体" w:cs="宋体"/>
          <w:szCs w:val="24"/>
          <w:highlight w:val="none"/>
          <w:lang w:val="zh-CN"/>
        </w:rPr>
        <w:t>（合同编号：</w:t>
      </w:r>
      <w:r>
        <w:rPr>
          <w:rFonts w:hint="eastAsia" w:ascii="宋体" w:hAnsi="宋体" w:cs="宋体"/>
          <w:szCs w:val="24"/>
          <w:highlight w:val="none"/>
          <w:lang w:val="en-US" w:eastAsia="zh-CN"/>
        </w:rPr>
        <w:t xml:space="preserve">              </w:t>
      </w:r>
      <w:r>
        <w:rPr>
          <w:rFonts w:ascii="宋体" w:hAnsi="宋体" w:cs="宋体"/>
          <w:szCs w:val="24"/>
          <w:highlight w:val="none"/>
          <w:lang w:val="zh-CN"/>
        </w:rPr>
        <w:t>）</w:t>
      </w:r>
      <w:r>
        <w:rPr>
          <w:rFonts w:hint="eastAsia" w:ascii="宋体" w:hAnsi="宋体" w:cs="宋体"/>
          <w:szCs w:val="24"/>
          <w:highlight w:val="none"/>
          <w:lang w:val="zh-CN"/>
        </w:rPr>
        <w:t>，</w:t>
      </w:r>
      <w:r>
        <w:rPr>
          <w:rFonts w:hint="eastAsia" w:ascii="宋体" w:hAnsi="宋体" w:cs="宋体"/>
          <w:szCs w:val="24"/>
          <w:lang w:val="zh-CN"/>
        </w:rPr>
        <w:t>经甲乙双方友好协商，特签订如下安全生产协议：</w:t>
      </w:r>
    </w:p>
    <w:p>
      <w:pPr>
        <w:autoSpaceDE w:val="0"/>
        <w:autoSpaceDN w:val="0"/>
        <w:spacing w:line="480" w:lineRule="exact"/>
        <w:ind w:firstLine="480" w:firstLineChars="200"/>
        <w:rPr>
          <w:rFonts w:ascii="宋体" w:hAnsi="宋体" w:cs="宋体"/>
          <w:bCs/>
          <w:szCs w:val="24"/>
          <w:lang w:val="zh-CN"/>
        </w:rPr>
      </w:pPr>
      <w:r>
        <w:rPr>
          <w:rFonts w:hint="eastAsia" w:ascii="宋体" w:hAnsi="宋体" w:cs="宋体"/>
          <w:bCs/>
          <w:szCs w:val="24"/>
          <w:lang w:val="zh-CN"/>
        </w:rPr>
        <w:t>一、甲方职责：</w:t>
      </w:r>
    </w:p>
    <w:p>
      <w:pPr>
        <w:autoSpaceDE w:val="0"/>
        <w:autoSpaceDN w:val="0"/>
        <w:spacing w:line="480" w:lineRule="exact"/>
        <w:ind w:firstLine="480" w:firstLineChars="200"/>
        <w:rPr>
          <w:rFonts w:ascii="宋体" w:hAnsi="宋体" w:cs="宋体"/>
          <w:szCs w:val="24"/>
          <w:lang w:val="zh-CN"/>
        </w:rPr>
      </w:pPr>
      <w:r>
        <w:rPr>
          <w:rFonts w:hint="eastAsia" w:ascii="宋体" w:hAnsi="宋体" w:cs="宋体"/>
          <w:szCs w:val="24"/>
          <w:lang w:val="zh-CN"/>
        </w:rPr>
        <w:t>1、严格遵守国家有关安全生产的法律法规，认真执行工程承包合同中有关甲方的安全要求。</w:t>
      </w:r>
    </w:p>
    <w:p>
      <w:pPr>
        <w:autoSpaceDE w:val="0"/>
        <w:autoSpaceDN w:val="0"/>
        <w:spacing w:line="480" w:lineRule="exact"/>
        <w:ind w:firstLine="480" w:firstLineChars="200"/>
        <w:rPr>
          <w:rFonts w:ascii="宋体" w:hAnsi="宋体" w:cs="宋体"/>
          <w:szCs w:val="24"/>
          <w:lang w:val="zh-CN"/>
        </w:rPr>
      </w:pPr>
      <w:r>
        <w:rPr>
          <w:rFonts w:hint="eastAsia" w:ascii="宋体" w:hAnsi="宋体" w:cs="宋体"/>
          <w:szCs w:val="24"/>
          <w:lang w:val="zh-CN"/>
        </w:rPr>
        <w:t>2、依法对安全文明施工进行监督管理，及时传达国家及地方安全法规指令，参加现场安全文明施工管理工作例会、组织年度安全管理总结会以及编制安全工作管理目标。</w:t>
      </w:r>
    </w:p>
    <w:p>
      <w:pPr>
        <w:spacing w:line="480" w:lineRule="exact"/>
        <w:rPr>
          <w:rFonts w:ascii="宋体" w:hAnsi="宋体" w:cs="宋体"/>
          <w:szCs w:val="24"/>
          <w:lang w:val="zh-CN"/>
        </w:rPr>
      </w:pPr>
      <w:r>
        <w:rPr>
          <w:rFonts w:hint="eastAsia" w:ascii="宋体" w:hAnsi="宋体" w:cs="宋体"/>
          <w:szCs w:val="24"/>
          <w:lang w:val="zh-CN"/>
        </w:rPr>
        <w:t xml:space="preserve">    3、按《金沙水电站安全文明施工管理办法》参与监理单位组织的各项安全检查。</w:t>
      </w:r>
    </w:p>
    <w:p>
      <w:pPr>
        <w:autoSpaceDE w:val="0"/>
        <w:autoSpaceDN w:val="0"/>
        <w:spacing w:line="480" w:lineRule="exact"/>
        <w:ind w:firstLine="480" w:firstLineChars="200"/>
        <w:rPr>
          <w:rFonts w:ascii="宋体" w:hAnsi="宋体" w:cs="宋体"/>
          <w:szCs w:val="24"/>
          <w:lang w:val="zh-CN"/>
        </w:rPr>
      </w:pPr>
      <w:r>
        <w:rPr>
          <w:rFonts w:hint="eastAsia" w:ascii="宋体" w:hAnsi="宋体" w:cs="宋体"/>
          <w:szCs w:val="24"/>
          <w:lang w:val="zh-CN"/>
        </w:rPr>
        <w:t>4、配合一般及以上安全事故的调查和处理，及时向政府主管部门报告。</w:t>
      </w:r>
    </w:p>
    <w:p>
      <w:pPr>
        <w:pStyle w:val="16"/>
        <w:spacing w:line="480" w:lineRule="exact"/>
        <w:ind w:firstLine="480" w:firstLineChars="200"/>
        <w:rPr>
          <w:rFonts w:ascii="宋体" w:hAnsi="宋体"/>
          <w:bCs/>
          <w:szCs w:val="24"/>
        </w:rPr>
      </w:pPr>
      <w:r>
        <w:rPr>
          <w:rFonts w:hint="eastAsia" w:ascii="宋体" w:hAnsi="宋体"/>
          <w:bCs/>
          <w:szCs w:val="24"/>
        </w:rPr>
        <w:t>二、乙方职责：</w:t>
      </w:r>
    </w:p>
    <w:p>
      <w:pPr>
        <w:spacing w:line="480" w:lineRule="exact"/>
        <w:ind w:firstLine="480" w:firstLineChars="200"/>
      </w:pPr>
      <w:r>
        <w:rPr>
          <w:rFonts w:ascii="宋体" w:hAnsi="宋体" w:cs="仿宋"/>
          <w:szCs w:val="24"/>
          <w:lang w:val="zh-CN"/>
        </w:rPr>
        <w:t>1、</w:t>
      </w:r>
      <w:r>
        <w:t>乙方安全生产管理应实现如下指标：</w:t>
      </w:r>
    </w:p>
    <w:p>
      <w:pPr>
        <w:spacing w:line="480" w:lineRule="exact"/>
        <w:ind w:firstLine="480" w:firstLineChars="200"/>
        <w:rPr>
          <w:rFonts w:ascii="宋体" w:hAnsi="宋体"/>
          <w:szCs w:val="24"/>
        </w:rPr>
      </w:pPr>
      <w:r>
        <w:rPr>
          <w:rFonts w:hint="eastAsia" w:ascii="宋体" w:hAnsi="宋体"/>
          <w:szCs w:val="24"/>
        </w:rPr>
        <w:t>（1）不发生重伤及以上事故。</w:t>
      </w:r>
    </w:p>
    <w:p>
      <w:pPr>
        <w:spacing w:line="480" w:lineRule="exact"/>
        <w:ind w:firstLine="480" w:firstLineChars="200"/>
        <w:rPr>
          <w:rFonts w:ascii="宋体" w:hAnsi="宋体"/>
          <w:szCs w:val="24"/>
        </w:rPr>
      </w:pPr>
      <w:r>
        <w:rPr>
          <w:rFonts w:hint="eastAsia" w:ascii="宋体" w:hAnsi="宋体"/>
          <w:szCs w:val="24"/>
        </w:rPr>
        <w:t>（2）不发生地质灾害责任事故。</w:t>
      </w:r>
    </w:p>
    <w:p>
      <w:pPr>
        <w:spacing w:line="480" w:lineRule="exact"/>
        <w:ind w:firstLine="480" w:firstLineChars="200"/>
        <w:rPr>
          <w:rFonts w:ascii="宋体" w:hAnsi="宋体"/>
          <w:szCs w:val="24"/>
        </w:rPr>
      </w:pPr>
      <w:r>
        <w:rPr>
          <w:rFonts w:hint="eastAsia" w:ascii="宋体" w:hAnsi="宋体"/>
          <w:szCs w:val="24"/>
        </w:rPr>
        <w:t>（3）不发生一般及以上火灾事故。</w:t>
      </w:r>
    </w:p>
    <w:p>
      <w:pPr>
        <w:spacing w:line="480" w:lineRule="exact"/>
        <w:ind w:firstLine="480" w:firstLineChars="200"/>
        <w:rPr>
          <w:rFonts w:ascii="宋体" w:hAnsi="宋体"/>
          <w:szCs w:val="24"/>
        </w:rPr>
      </w:pPr>
      <w:r>
        <w:rPr>
          <w:rFonts w:hint="eastAsia" w:ascii="宋体" w:hAnsi="宋体"/>
          <w:szCs w:val="24"/>
        </w:rPr>
        <w:t>（4）不发生负主要责任的重大及以上交通事故。</w:t>
      </w:r>
    </w:p>
    <w:p>
      <w:pPr>
        <w:spacing w:line="480" w:lineRule="exact"/>
        <w:ind w:firstLine="480" w:firstLineChars="200"/>
        <w:rPr>
          <w:rFonts w:ascii="宋体" w:hAnsi="宋体"/>
          <w:szCs w:val="24"/>
        </w:rPr>
      </w:pPr>
      <w:r>
        <w:rPr>
          <w:rFonts w:hint="eastAsia" w:ascii="宋体" w:hAnsi="宋体"/>
          <w:szCs w:val="24"/>
        </w:rPr>
        <w:t>（5）不发生重大施工机械设备损坏事故。</w:t>
      </w:r>
    </w:p>
    <w:p>
      <w:pPr>
        <w:spacing w:line="480" w:lineRule="exact"/>
        <w:ind w:firstLine="480" w:firstLineChars="200"/>
        <w:rPr>
          <w:rFonts w:ascii="宋体" w:hAnsi="宋体" w:cs="仿宋"/>
          <w:szCs w:val="24"/>
          <w:lang w:val="zh-CN"/>
        </w:rPr>
      </w:pPr>
      <w:r>
        <w:rPr>
          <w:rFonts w:hint="eastAsia" w:ascii="宋体" w:hAnsi="宋体"/>
          <w:szCs w:val="24"/>
        </w:rPr>
        <w:t>（6）</w:t>
      </w:r>
      <w:r>
        <w:rPr>
          <w:rFonts w:hint="eastAsia" w:ascii="宋体" w:hAnsi="宋体" w:cs="仿宋"/>
          <w:szCs w:val="24"/>
          <w:lang w:val="zh-CN"/>
        </w:rPr>
        <w:t>不发生有不良社会影响的水土保持、环境污染事故。</w:t>
      </w:r>
    </w:p>
    <w:p>
      <w:pPr>
        <w:tabs>
          <w:tab w:val="left" w:pos="0"/>
        </w:tabs>
        <w:spacing w:line="480" w:lineRule="exact"/>
        <w:ind w:firstLine="480" w:firstLineChars="200"/>
        <w:rPr>
          <w:rFonts w:ascii="宋体" w:hAnsi="宋体"/>
          <w:szCs w:val="24"/>
        </w:rPr>
      </w:pPr>
      <w:r>
        <w:rPr>
          <w:rFonts w:hint="eastAsia" w:ascii="宋体" w:hAnsi="宋体" w:cs="仿宋"/>
          <w:szCs w:val="24"/>
          <w:lang w:val="zh-CN"/>
        </w:rPr>
        <w:t>2、</w:t>
      </w:r>
      <w:r>
        <w:rPr>
          <w:rFonts w:hint="eastAsia" w:ascii="宋体" w:hAnsi="宋体" w:cs="宋体"/>
          <w:szCs w:val="24"/>
          <w:lang w:val="zh-CN"/>
        </w:rPr>
        <w:t>严格遵守国家有关安全生产的法律法规，认真执行承包合同中有关乙方的安全要求。</w:t>
      </w:r>
      <w:r>
        <w:rPr>
          <w:rFonts w:hint="eastAsia" w:ascii="宋体" w:hAnsi="宋体" w:cs="仿宋"/>
          <w:szCs w:val="24"/>
          <w:lang w:val="zh-CN"/>
        </w:rPr>
        <w:t>全面</w:t>
      </w:r>
      <w:r>
        <w:rPr>
          <w:rFonts w:hint="eastAsia" w:ascii="宋体" w:hAnsi="宋体"/>
          <w:szCs w:val="24"/>
        </w:rPr>
        <w:t>负责所承包工程的安全生产管理，接受监理单位、甲方及有关部门的监督管理。</w:t>
      </w:r>
    </w:p>
    <w:p>
      <w:pPr>
        <w:tabs>
          <w:tab w:val="left" w:pos="0"/>
        </w:tabs>
        <w:spacing w:line="480" w:lineRule="exact"/>
        <w:ind w:firstLine="480" w:firstLineChars="200"/>
        <w:rPr>
          <w:rFonts w:ascii="宋体" w:hAnsi="宋体"/>
          <w:szCs w:val="24"/>
        </w:rPr>
      </w:pPr>
      <w:r>
        <w:rPr>
          <w:rFonts w:hint="eastAsia" w:ascii="宋体" w:hAnsi="宋体"/>
          <w:szCs w:val="24"/>
        </w:rPr>
        <w:t>3、建立健全并认真落实安全生产责任制度、安全文明施工教育培训制度、隐患排查治理制度等安全生产规章制度和安全操作规程，提高全员的安全意识和安全技能。对使用的劳务人员进行安全文明施工培训、教育，并为其不安全文明施工行为承担责任。</w:t>
      </w:r>
    </w:p>
    <w:p>
      <w:pPr>
        <w:tabs>
          <w:tab w:val="left" w:pos="0"/>
        </w:tabs>
        <w:spacing w:line="480" w:lineRule="exact"/>
        <w:ind w:firstLine="480" w:firstLineChars="200"/>
        <w:rPr>
          <w:rFonts w:ascii="宋体" w:hAnsi="宋体" w:cs="宋体"/>
          <w:szCs w:val="24"/>
          <w:lang w:val="zh-CN"/>
        </w:rPr>
      </w:pPr>
      <w:r>
        <w:rPr>
          <w:rFonts w:hint="eastAsia" w:ascii="宋体" w:hAnsi="宋体"/>
          <w:szCs w:val="24"/>
        </w:rPr>
        <w:t>4、建立健全适应工程需要的安全管理机构，按照国家有关规定配置专职（兼职）安全生产管理人员，负责对现场的安全生产进行监督检查,</w:t>
      </w:r>
      <w:r>
        <w:rPr>
          <w:rFonts w:hint="eastAsia" w:ascii="宋体" w:hAnsi="宋体" w:cs="宋体"/>
          <w:szCs w:val="24"/>
          <w:lang w:val="zh-CN"/>
        </w:rPr>
        <w:t xml:space="preserve"> 按照“零容忍</w:t>
      </w:r>
      <w:r>
        <w:rPr>
          <w:rFonts w:ascii="宋体" w:hAnsi="宋体" w:cs="宋体"/>
          <w:szCs w:val="24"/>
          <w:lang w:val="zh-CN"/>
        </w:rPr>
        <w:t>”</w:t>
      </w:r>
      <w:r>
        <w:rPr>
          <w:rFonts w:hint="eastAsia" w:ascii="宋体" w:hAnsi="宋体" w:cs="宋体"/>
          <w:szCs w:val="24"/>
          <w:lang w:val="zh-CN"/>
        </w:rPr>
        <w:t>“、“五落实</w:t>
      </w:r>
      <w:r>
        <w:rPr>
          <w:rFonts w:ascii="宋体" w:hAnsi="宋体" w:cs="宋体"/>
          <w:szCs w:val="24"/>
          <w:lang w:val="zh-CN"/>
        </w:rPr>
        <w:t>”</w:t>
      </w:r>
      <w:r>
        <w:rPr>
          <w:rFonts w:hint="eastAsia" w:ascii="宋体" w:hAnsi="宋体" w:cs="宋体"/>
          <w:szCs w:val="24"/>
          <w:lang w:val="zh-CN"/>
        </w:rPr>
        <w:t>要求进行隐患治理，隐患排查治理常态化。</w:t>
      </w:r>
    </w:p>
    <w:p>
      <w:pPr>
        <w:tabs>
          <w:tab w:val="left" w:pos="0"/>
        </w:tabs>
        <w:spacing w:line="480" w:lineRule="exact"/>
        <w:ind w:firstLine="480" w:firstLineChars="200"/>
        <w:rPr>
          <w:rFonts w:ascii="宋体" w:hAnsi="宋体"/>
          <w:szCs w:val="24"/>
        </w:rPr>
      </w:pPr>
      <w:r>
        <w:rPr>
          <w:rFonts w:hint="eastAsia" w:ascii="宋体" w:hAnsi="宋体"/>
          <w:szCs w:val="24"/>
        </w:rPr>
        <w:t>5、在编制施工组织设计时，应制定相应的现场安全文明施工管理措施和计划、</w:t>
      </w:r>
      <w:r>
        <w:rPr>
          <w:rFonts w:hint="eastAsia" w:ascii="宋体" w:hAnsi="宋体" w:cs="宋体"/>
          <w:szCs w:val="24"/>
          <w:lang w:val="zh-CN"/>
        </w:rPr>
        <w:t>劳动防护、地质灾害防治和汛期防洪度汛措施等，</w:t>
      </w:r>
      <w:r>
        <w:rPr>
          <w:rFonts w:hint="eastAsia" w:ascii="宋体" w:hAnsi="宋体"/>
          <w:szCs w:val="24"/>
        </w:rPr>
        <w:t>经监理单位批准后实施，落实相应经费。乙方的一切施工活动必须有安全措施，并在施工前进行交底，严格规范施工。重大方案实施前应经监理单位审批，并报甲方备案，在实施过程中，乙方施工管理人员、安全管理人员和监理必须亲临现场，不得擅自离开。</w:t>
      </w:r>
    </w:p>
    <w:p>
      <w:pPr>
        <w:tabs>
          <w:tab w:val="left" w:pos="0"/>
        </w:tabs>
        <w:spacing w:line="480" w:lineRule="exact"/>
        <w:ind w:left="240" w:leftChars="100" w:firstLine="240" w:firstLineChars="100"/>
        <w:rPr>
          <w:rFonts w:ascii="宋体" w:hAnsi="宋体"/>
          <w:szCs w:val="24"/>
        </w:rPr>
      </w:pPr>
      <w:r>
        <w:rPr>
          <w:rFonts w:hint="eastAsia" w:ascii="宋体" w:hAnsi="宋体"/>
          <w:szCs w:val="24"/>
        </w:rPr>
        <w:t>6、严格遵守有关水土保持、环境保护法律法规的规定，并按照设计要求、水土保持方案报告书（表）、环境影响评价报告书（表）及批复意见，做好水土保持工作，采取有效措施，防止或减少环境污染。</w:t>
      </w:r>
    </w:p>
    <w:p>
      <w:pPr>
        <w:tabs>
          <w:tab w:val="left" w:pos="0"/>
        </w:tabs>
        <w:spacing w:line="480" w:lineRule="exact"/>
        <w:ind w:firstLine="480" w:firstLineChars="200"/>
        <w:rPr>
          <w:rFonts w:ascii="宋体" w:hAnsi="宋体"/>
          <w:szCs w:val="24"/>
        </w:rPr>
      </w:pPr>
      <w:r>
        <w:rPr>
          <w:rFonts w:hint="eastAsia" w:ascii="宋体" w:hAnsi="宋体"/>
          <w:szCs w:val="24"/>
        </w:rPr>
        <w:t>7、根据施工特点制定本单位的应急预案，建立应急救援组织、配备救援人员及必要的应急救援器材、设备，定期组织演练。</w:t>
      </w:r>
    </w:p>
    <w:p>
      <w:pPr>
        <w:spacing w:line="480" w:lineRule="exact"/>
        <w:ind w:firstLine="480" w:firstLineChars="200"/>
        <w:rPr>
          <w:rFonts w:ascii="宋体" w:hAnsi="宋体"/>
          <w:szCs w:val="24"/>
        </w:rPr>
      </w:pPr>
      <w:r>
        <w:rPr>
          <w:rFonts w:hint="eastAsia" w:ascii="宋体" w:hAnsi="宋体"/>
          <w:bCs/>
          <w:szCs w:val="24"/>
        </w:rPr>
        <w:t>三、</w:t>
      </w:r>
      <w:r>
        <w:rPr>
          <w:rFonts w:hint="eastAsia" w:ascii="宋体" w:hAnsi="宋体"/>
          <w:szCs w:val="24"/>
        </w:rPr>
        <w:t>甲方有权对在安全文明生产工作中不称职的乙方项目管理人员或安全管理人员提出撤换。</w:t>
      </w:r>
    </w:p>
    <w:p>
      <w:pPr>
        <w:adjustRightInd/>
        <w:spacing w:line="480" w:lineRule="exact"/>
        <w:ind w:firstLine="480" w:firstLineChars="200"/>
        <w:jc w:val="both"/>
        <w:textAlignment w:val="auto"/>
        <w:rPr>
          <w:rFonts w:ascii="宋体" w:hAnsi="宋体"/>
          <w:szCs w:val="24"/>
        </w:rPr>
      </w:pPr>
      <w:r>
        <w:rPr>
          <w:rFonts w:hint="eastAsia" w:ascii="宋体" w:hAnsi="宋体"/>
          <w:bCs/>
          <w:szCs w:val="24"/>
        </w:rPr>
        <w:t>四、</w:t>
      </w:r>
      <w:r>
        <w:rPr>
          <w:rFonts w:hint="eastAsia" w:ascii="宋体" w:hAnsi="宋体"/>
          <w:szCs w:val="24"/>
        </w:rPr>
        <w:t>乙方未认真执行国家、地方及甲方有关安全生产的规定和本协议，甲方有权按</w:t>
      </w:r>
      <w:r>
        <w:rPr>
          <w:rFonts w:hint="eastAsia" w:ascii="宋体" w:hAnsi="宋体" w:cs="宋体"/>
          <w:szCs w:val="24"/>
          <w:lang w:val="zh-CN"/>
        </w:rPr>
        <w:t>《金沙水电站安全文明施工管理办法》</w:t>
      </w:r>
      <w:r>
        <w:rPr>
          <w:rFonts w:hint="eastAsia" w:ascii="宋体" w:hAnsi="宋体"/>
          <w:szCs w:val="24"/>
        </w:rPr>
        <w:t>对乙方进行处罚；后果严重的，甲方有权终止合同。</w:t>
      </w:r>
    </w:p>
    <w:p>
      <w:pPr>
        <w:spacing w:line="480" w:lineRule="exact"/>
        <w:ind w:firstLine="480" w:firstLineChars="200"/>
        <w:rPr>
          <w:rFonts w:ascii="宋体" w:hAnsi="宋体"/>
          <w:bCs/>
          <w:szCs w:val="24"/>
        </w:rPr>
      </w:pPr>
      <w:r>
        <w:rPr>
          <w:rFonts w:hint="eastAsia" w:ascii="宋体" w:hAnsi="宋体"/>
          <w:bCs/>
          <w:szCs w:val="24"/>
        </w:rPr>
        <w:t xml:space="preserve">五、奖励及处罚  </w:t>
      </w:r>
    </w:p>
    <w:p>
      <w:pPr>
        <w:spacing w:line="480" w:lineRule="exact"/>
        <w:ind w:firstLine="480" w:firstLineChars="200"/>
        <w:rPr>
          <w:rFonts w:ascii="宋体" w:hAnsi="宋体"/>
          <w:szCs w:val="24"/>
        </w:rPr>
      </w:pPr>
      <w:r>
        <w:rPr>
          <w:rFonts w:hint="eastAsia" w:ascii="宋体" w:hAnsi="宋体"/>
          <w:szCs w:val="24"/>
        </w:rPr>
        <w:t>1、全面实现安全管理目标的，按照甲方有关规定给予乙方奖励。</w:t>
      </w:r>
    </w:p>
    <w:p>
      <w:pPr>
        <w:spacing w:line="480" w:lineRule="exact"/>
        <w:ind w:firstLine="480" w:firstLineChars="200"/>
        <w:rPr>
          <w:rFonts w:ascii="宋体" w:hAnsi="宋体"/>
          <w:szCs w:val="24"/>
        </w:rPr>
      </w:pPr>
      <w:r>
        <w:rPr>
          <w:rFonts w:hint="eastAsia" w:ascii="宋体" w:hAnsi="宋体"/>
          <w:szCs w:val="24"/>
        </w:rPr>
        <w:t>2、因乙方的责任导致人身伤亡事故的，乙方除承担相应法律责任和经济责任外，第一次每重伤一人给予乙方贰万元处罚；每工亡一人给予乙方十万元处罚；年度内连续发生事故的，加倍处罚，同时对乙方施工资格进行重新评审。</w:t>
      </w:r>
    </w:p>
    <w:p>
      <w:pPr>
        <w:spacing w:line="480" w:lineRule="exact"/>
        <w:ind w:firstLine="480" w:firstLineChars="200"/>
        <w:rPr>
          <w:rFonts w:ascii="宋体" w:hAnsi="宋体"/>
          <w:szCs w:val="24"/>
        </w:rPr>
      </w:pPr>
      <w:r>
        <w:rPr>
          <w:rFonts w:hint="eastAsia" w:ascii="宋体" w:hAnsi="宋体"/>
          <w:szCs w:val="24"/>
        </w:rPr>
        <w:t>3、因乙方责任导致的非人员伤亡火灾事故、机械设备事故、道路交通事故的，每一起一般事故给予乙方贰万元处罚，较大事故的给予乙方陆万元处罚，重大事故给予乙方十万元处罚，特大事故给予乙方十五万元处罚。</w:t>
      </w:r>
    </w:p>
    <w:p>
      <w:pPr>
        <w:autoSpaceDE w:val="0"/>
        <w:autoSpaceDN w:val="0"/>
        <w:spacing w:line="480" w:lineRule="exact"/>
        <w:ind w:firstLine="480" w:firstLineChars="200"/>
        <w:rPr>
          <w:rFonts w:ascii="宋体" w:hAnsi="宋体" w:cs="仿宋"/>
          <w:szCs w:val="24"/>
          <w:lang w:val="zh-CN"/>
        </w:rPr>
      </w:pPr>
      <w:r>
        <w:rPr>
          <w:rFonts w:hint="eastAsia" w:ascii="宋体" w:hAnsi="宋体"/>
          <w:szCs w:val="24"/>
        </w:rPr>
        <w:t>4、因乙方责任，</w:t>
      </w:r>
      <w:r>
        <w:rPr>
          <w:rFonts w:hint="eastAsia" w:ascii="宋体" w:hAnsi="宋体" w:cs="仿宋"/>
          <w:szCs w:val="24"/>
          <w:lang w:val="zh-CN"/>
        </w:rPr>
        <w:t>发生有不良社会影响的水土保持、环境污染事故，</w:t>
      </w:r>
      <w:r>
        <w:rPr>
          <w:rFonts w:hint="eastAsia" w:ascii="宋体" w:hAnsi="宋体"/>
          <w:szCs w:val="24"/>
        </w:rPr>
        <w:t>乙方除承担相应法律和经济责任外，甲方</w:t>
      </w:r>
      <w:r>
        <w:rPr>
          <w:rFonts w:hint="eastAsia" w:ascii="宋体" w:hAnsi="宋体" w:cs="仿宋"/>
          <w:szCs w:val="24"/>
          <w:lang w:val="zh-CN"/>
        </w:rPr>
        <w:t>每次给予乙方三万至十万元处罚。</w:t>
      </w:r>
    </w:p>
    <w:p>
      <w:pPr>
        <w:tabs>
          <w:tab w:val="left" w:pos="0"/>
        </w:tabs>
        <w:spacing w:line="480" w:lineRule="exact"/>
        <w:ind w:firstLine="480" w:firstLineChars="200"/>
        <w:rPr>
          <w:rFonts w:ascii="宋体" w:hAnsi="宋体"/>
          <w:szCs w:val="24"/>
        </w:rPr>
      </w:pPr>
      <w:r>
        <w:rPr>
          <w:rFonts w:hint="eastAsia" w:ascii="宋体" w:hAnsi="宋体" w:cs="仿宋"/>
          <w:szCs w:val="24"/>
          <w:lang w:val="zh-CN"/>
        </w:rPr>
        <w:t>5</w:t>
      </w:r>
      <w:r>
        <w:rPr>
          <w:rFonts w:hint="eastAsia" w:ascii="宋体" w:hAnsi="宋体"/>
          <w:szCs w:val="24"/>
        </w:rPr>
        <w:t>、若乙方实际安全措施费用、环保与水土保持费用投入低于工程量清单所列费用或国家、行业规定的，甲方有权对投入不足的费用扣减支付。</w:t>
      </w:r>
    </w:p>
    <w:p>
      <w:pPr>
        <w:tabs>
          <w:tab w:val="left" w:pos="0"/>
        </w:tabs>
        <w:spacing w:line="480" w:lineRule="exact"/>
        <w:ind w:firstLine="480" w:firstLineChars="200"/>
        <w:rPr>
          <w:rFonts w:ascii="宋体" w:hAnsi="宋体"/>
          <w:szCs w:val="24"/>
        </w:rPr>
      </w:pPr>
      <w:r>
        <w:rPr>
          <w:rFonts w:hint="eastAsia" w:ascii="宋体" w:hAnsi="宋体"/>
          <w:szCs w:val="24"/>
        </w:rPr>
        <w:t>6、 乙方以任何形式与从业人员订立协议，企图免除或减轻其对从业人员因生产安全事故伤亡依法应承担的责任的，每人次给予乙方一万元处罚。</w:t>
      </w:r>
    </w:p>
    <w:p>
      <w:pPr>
        <w:tabs>
          <w:tab w:val="left" w:pos="0"/>
        </w:tabs>
        <w:spacing w:line="480" w:lineRule="exact"/>
        <w:ind w:firstLine="480" w:firstLineChars="200"/>
        <w:rPr>
          <w:rFonts w:ascii="宋体" w:hAnsi="宋体"/>
          <w:szCs w:val="24"/>
        </w:rPr>
      </w:pPr>
      <w:r>
        <w:rPr>
          <w:rFonts w:hint="eastAsia" w:ascii="宋体" w:hAnsi="宋体"/>
          <w:szCs w:val="24"/>
        </w:rPr>
        <w:t>六、凡因乙方的责任发生较大及以上安全事故的，除按上述第五条给予处罚外，甲方有权撤消乙方的项目经理，并取消今后参加公司后续工程施工的投标资格。</w:t>
      </w:r>
    </w:p>
    <w:p>
      <w:pPr>
        <w:tabs>
          <w:tab w:val="left" w:pos="0"/>
        </w:tabs>
        <w:spacing w:line="480" w:lineRule="exact"/>
        <w:ind w:firstLine="480" w:firstLineChars="200"/>
        <w:rPr>
          <w:rFonts w:ascii="宋体" w:hAnsi="宋体"/>
          <w:szCs w:val="24"/>
        </w:rPr>
      </w:pPr>
      <w:r>
        <w:rPr>
          <w:rFonts w:hint="eastAsia" w:ascii="宋体" w:hAnsi="宋体"/>
          <w:szCs w:val="24"/>
        </w:rPr>
        <w:t>七、上述各条款所涉及处罚，均在国家及各级地方职能部门处罚之外，由乙方向甲方缴纳或由甲方从乙方工程款中扣除。</w:t>
      </w:r>
    </w:p>
    <w:p>
      <w:pPr>
        <w:tabs>
          <w:tab w:val="left" w:pos="0"/>
        </w:tabs>
        <w:spacing w:line="480" w:lineRule="exact"/>
        <w:ind w:firstLine="480" w:firstLineChars="200"/>
        <w:rPr>
          <w:rFonts w:ascii="宋体" w:hAnsi="宋体"/>
          <w:szCs w:val="24"/>
        </w:rPr>
      </w:pPr>
      <w:r>
        <w:rPr>
          <w:rFonts w:hint="eastAsia" w:ascii="宋体" w:hAnsi="宋体"/>
          <w:szCs w:val="24"/>
        </w:rPr>
        <w:t>八、上述各条款未尽事宜，可由双方协商解决。本协议的解释权归甲方。</w:t>
      </w:r>
    </w:p>
    <w:p>
      <w:pPr>
        <w:autoSpaceDE w:val="0"/>
        <w:autoSpaceDN w:val="0"/>
        <w:spacing w:line="480" w:lineRule="exact"/>
        <w:ind w:firstLine="480" w:firstLineChars="200"/>
        <w:rPr>
          <w:rFonts w:ascii="宋体" w:hAnsi="宋体" w:cs="宋体"/>
          <w:szCs w:val="24"/>
          <w:lang w:val="zh-CN"/>
        </w:rPr>
      </w:pPr>
      <w:r>
        <w:rPr>
          <w:rFonts w:hint="eastAsia" w:ascii="宋体" w:hAnsi="宋体"/>
          <w:szCs w:val="24"/>
        </w:rPr>
        <w:t>九、</w:t>
      </w:r>
      <w:r>
        <w:rPr>
          <w:rFonts w:hint="eastAsia" w:ascii="宋体" w:hAnsi="宋体" w:cs="宋体"/>
          <w:szCs w:val="24"/>
          <w:lang w:val="zh-CN"/>
        </w:rPr>
        <w:t>本协议作为合同附件，与合同具有同等法律效力。</w:t>
      </w:r>
      <w:r>
        <w:rPr>
          <w:rFonts w:hint="eastAsia" w:ascii="宋体" w:hAnsi="宋体"/>
          <w:szCs w:val="24"/>
        </w:rPr>
        <w:t>本协议书与合同协议书份数相同，</w:t>
      </w:r>
      <w:r>
        <w:rPr>
          <w:rFonts w:hint="eastAsia" w:ascii="宋体" w:hAnsi="宋体" w:cs="宋体"/>
          <w:szCs w:val="24"/>
          <w:lang w:val="zh-CN"/>
        </w:rPr>
        <w:t>经双方签署后生效。</w:t>
      </w:r>
    </w:p>
    <w:p>
      <w:pPr>
        <w:tabs>
          <w:tab w:val="left" w:pos="0"/>
        </w:tabs>
        <w:spacing w:line="360" w:lineRule="auto"/>
        <w:ind w:firstLine="480" w:firstLineChars="200"/>
        <w:rPr>
          <w:rFonts w:ascii="宋体" w:hAnsi="宋体"/>
          <w:szCs w:val="24"/>
        </w:rPr>
      </w:pPr>
    </w:p>
    <w:p>
      <w:pPr>
        <w:tabs>
          <w:tab w:val="left" w:pos="0"/>
        </w:tabs>
        <w:spacing w:line="360" w:lineRule="auto"/>
        <w:ind w:firstLine="480" w:firstLineChars="200"/>
        <w:rPr>
          <w:rFonts w:ascii="宋体" w:hAnsi="宋体"/>
          <w:szCs w:val="24"/>
        </w:rPr>
      </w:pPr>
    </w:p>
    <w:p>
      <w:pPr>
        <w:tabs>
          <w:tab w:val="left" w:pos="0"/>
        </w:tabs>
        <w:spacing w:line="360" w:lineRule="auto"/>
        <w:rPr>
          <w:rFonts w:hint="eastAsia" w:ascii="宋体" w:hAnsi="宋体"/>
          <w:szCs w:val="24"/>
        </w:rPr>
      </w:pPr>
      <w:r>
        <w:rPr>
          <w:rFonts w:hint="eastAsia" w:ascii="宋体" w:hAnsi="宋体"/>
          <w:szCs w:val="24"/>
        </w:rPr>
        <w:t>甲方：（签章）                        乙方: （签章）</w:t>
      </w:r>
    </w:p>
    <w:p>
      <w:pPr>
        <w:tabs>
          <w:tab w:val="left" w:pos="0"/>
        </w:tabs>
        <w:spacing w:line="360" w:lineRule="auto"/>
        <w:rPr>
          <w:rFonts w:ascii="宋体" w:hAnsi="宋体"/>
          <w:bCs/>
          <w:szCs w:val="24"/>
        </w:rPr>
      </w:pPr>
      <w:r>
        <w:rPr>
          <w:rFonts w:hint="eastAsia" w:ascii="宋体" w:hAnsi="宋体"/>
          <w:szCs w:val="24"/>
        </w:rPr>
        <w:t>四川省能投攀枝花水电</w:t>
      </w:r>
      <w:r>
        <w:rPr>
          <w:rFonts w:hint="eastAsia" w:ascii="宋体" w:hAnsi="宋体"/>
          <w:bCs/>
          <w:szCs w:val="24"/>
        </w:rPr>
        <w:t xml:space="preserve">开发有限公司 </w:t>
      </w:r>
      <w:r>
        <w:rPr>
          <w:rFonts w:hint="eastAsia" w:ascii="宋体" w:hAnsi="宋体"/>
          <w:szCs w:val="24"/>
        </w:rPr>
        <w:t xml:space="preserve">     </w:t>
      </w:r>
      <w:r>
        <w:rPr>
          <w:rFonts w:hint="eastAsia" w:ascii="宋体" w:hAnsi="宋体"/>
          <w:szCs w:val="24"/>
          <w:lang w:val="en-US" w:eastAsia="zh-CN"/>
        </w:rPr>
        <w:t xml:space="preserve"> </w:t>
      </w:r>
    </w:p>
    <w:p>
      <w:pPr>
        <w:tabs>
          <w:tab w:val="left" w:pos="0"/>
        </w:tabs>
        <w:spacing w:line="360" w:lineRule="auto"/>
        <w:rPr>
          <w:rFonts w:ascii="宋体" w:hAnsi="宋体"/>
          <w:szCs w:val="24"/>
        </w:rPr>
      </w:pPr>
      <w:r>
        <w:rPr>
          <w:rFonts w:hint="eastAsia" w:ascii="宋体" w:hAnsi="宋体"/>
          <w:b/>
          <w:szCs w:val="24"/>
        </w:rPr>
        <w:t xml:space="preserve">                  </w:t>
      </w:r>
      <w:r>
        <w:rPr>
          <w:rFonts w:hint="eastAsia" w:ascii="宋体" w:hAnsi="宋体"/>
          <w:szCs w:val="24"/>
        </w:rPr>
        <w:t xml:space="preserve">                                 </w:t>
      </w:r>
    </w:p>
    <w:p>
      <w:pPr>
        <w:spacing w:line="360" w:lineRule="auto"/>
        <w:rPr>
          <w:rFonts w:ascii="宋体" w:hAnsi="宋体"/>
          <w:szCs w:val="24"/>
        </w:rPr>
      </w:pPr>
    </w:p>
    <w:p>
      <w:pPr>
        <w:spacing w:line="360" w:lineRule="auto"/>
        <w:rPr>
          <w:rFonts w:ascii="宋体" w:hAnsi="宋体"/>
          <w:szCs w:val="24"/>
        </w:rPr>
      </w:pPr>
    </w:p>
    <w:p>
      <w:pPr>
        <w:spacing w:line="360" w:lineRule="auto"/>
        <w:rPr>
          <w:rFonts w:ascii="宋体" w:hAnsi="宋体"/>
          <w:bCs/>
          <w:szCs w:val="24"/>
        </w:rPr>
      </w:pPr>
      <w:r>
        <w:rPr>
          <w:rFonts w:hint="eastAsia" w:ascii="宋体" w:hAnsi="宋体"/>
          <w:szCs w:val="24"/>
        </w:rPr>
        <w:t>法人（委托代表）签字：                 法人（委托代表）签字：</w:t>
      </w:r>
    </w:p>
    <w:p>
      <w:pPr>
        <w:spacing w:line="360" w:lineRule="auto"/>
        <w:ind w:firstLine="480" w:firstLineChars="200"/>
        <w:rPr>
          <w:rFonts w:hint="eastAsia" w:ascii="宋体" w:hAnsi="宋体"/>
          <w:szCs w:val="24"/>
        </w:rPr>
      </w:pPr>
    </w:p>
    <w:p>
      <w:pPr>
        <w:spacing w:line="360" w:lineRule="auto"/>
        <w:ind w:firstLine="480" w:firstLineChars="200"/>
        <w:rPr>
          <w:rFonts w:ascii="宋体" w:hAnsi="宋体"/>
          <w:szCs w:val="24"/>
        </w:rPr>
      </w:pPr>
    </w:p>
    <w:p>
      <w:pPr>
        <w:spacing w:line="360" w:lineRule="auto"/>
        <w:ind w:firstLine="240" w:firstLineChars="100"/>
        <w:rPr>
          <w:rFonts w:ascii="宋体" w:hAnsi="宋体"/>
          <w:szCs w:val="24"/>
        </w:rPr>
      </w:pPr>
      <w:r>
        <w:rPr>
          <w:rFonts w:hint="eastAsia" w:ascii="宋体" w:hAnsi="宋体"/>
          <w:szCs w:val="24"/>
          <w:lang w:val="en-US" w:eastAsia="zh-CN"/>
        </w:rPr>
        <w:t xml:space="preserve">    </w:t>
      </w:r>
      <w:r>
        <w:rPr>
          <w:rFonts w:hint="eastAsia" w:ascii="宋体" w:hAnsi="宋体"/>
          <w:szCs w:val="24"/>
        </w:rPr>
        <w:t xml:space="preserve">年 </w:t>
      </w:r>
      <w:r>
        <w:rPr>
          <w:rFonts w:hint="eastAsia" w:ascii="宋体" w:hAnsi="宋体"/>
          <w:szCs w:val="24"/>
          <w:lang w:val="en-US" w:eastAsia="zh-CN"/>
        </w:rPr>
        <w:t xml:space="preserve">   </w:t>
      </w:r>
      <w:r>
        <w:rPr>
          <w:rFonts w:hint="eastAsia" w:ascii="宋体" w:hAnsi="宋体"/>
          <w:szCs w:val="24"/>
        </w:rPr>
        <w:t xml:space="preserve">月 </w:t>
      </w:r>
      <w:r>
        <w:rPr>
          <w:rFonts w:hint="eastAsia" w:ascii="宋体" w:hAnsi="宋体"/>
          <w:szCs w:val="24"/>
          <w:lang w:val="en-US" w:eastAsia="zh-CN"/>
        </w:rPr>
        <w:t xml:space="preserve">  </w:t>
      </w:r>
      <w:r>
        <w:rPr>
          <w:rFonts w:hint="eastAsia" w:ascii="宋体" w:hAnsi="宋体"/>
          <w:szCs w:val="24"/>
        </w:rPr>
        <w:t xml:space="preserve">日                  </w:t>
      </w:r>
      <w:r>
        <w:rPr>
          <w:rFonts w:hint="eastAsia" w:ascii="宋体" w:hAnsi="宋体"/>
          <w:szCs w:val="24"/>
          <w:lang w:val="en-US" w:eastAsia="zh-CN"/>
        </w:rPr>
        <w:t xml:space="preserve">      </w:t>
      </w:r>
      <w:r>
        <w:rPr>
          <w:rFonts w:hint="eastAsia" w:ascii="宋体" w:hAnsi="宋体"/>
          <w:szCs w:val="24"/>
        </w:rPr>
        <w:t xml:space="preserve">年 </w:t>
      </w:r>
      <w:r>
        <w:rPr>
          <w:rFonts w:hint="eastAsia" w:ascii="宋体" w:hAnsi="宋体"/>
          <w:szCs w:val="24"/>
          <w:lang w:val="en-US" w:eastAsia="zh-CN"/>
        </w:rPr>
        <w:t xml:space="preserve">  </w:t>
      </w:r>
      <w:r>
        <w:rPr>
          <w:rFonts w:hint="eastAsia" w:ascii="宋体" w:hAnsi="宋体"/>
          <w:szCs w:val="24"/>
        </w:rPr>
        <w:t xml:space="preserve">月 </w:t>
      </w:r>
      <w:r>
        <w:rPr>
          <w:rFonts w:hint="eastAsia" w:ascii="宋体" w:hAnsi="宋体"/>
          <w:szCs w:val="24"/>
          <w:lang w:val="en-US" w:eastAsia="zh-CN"/>
        </w:rPr>
        <w:t xml:space="preserve">  </w:t>
      </w:r>
      <w:r>
        <w:rPr>
          <w:rFonts w:hint="eastAsia" w:ascii="宋体" w:hAnsi="宋体"/>
          <w:szCs w:val="24"/>
        </w:rPr>
        <w:t xml:space="preserve"> 日</w:t>
      </w:r>
    </w:p>
    <w:p>
      <w:pPr>
        <w:ind w:firstLine="720" w:firstLineChars="300"/>
        <w:rPr>
          <w:rFonts w:ascii="宋体" w:hAnsi="宋体"/>
          <w:szCs w:val="24"/>
        </w:rPr>
        <w:sectPr>
          <w:pgSz w:w="11906" w:h="16838"/>
          <w:pgMar w:top="1440" w:right="1474" w:bottom="1440" w:left="1474" w:header="851" w:footer="992" w:gutter="0"/>
          <w:pgNumType w:fmt="decimal"/>
          <w:cols w:space="720" w:num="1"/>
          <w:docGrid w:type="lines" w:linePitch="312" w:charSpace="-4916"/>
        </w:sectPr>
      </w:pPr>
    </w:p>
    <w:p>
      <w:pPr>
        <w:pStyle w:val="2"/>
        <w:rPr>
          <w:rFonts w:hint="eastAsia"/>
        </w:rPr>
      </w:pPr>
    </w:p>
    <w:p>
      <w:pPr>
        <w:pStyle w:val="2"/>
      </w:pPr>
      <w:r>
        <w:rPr>
          <w:rFonts w:hint="eastAsia"/>
        </w:rPr>
        <w:t xml:space="preserve">第五章 </w:t>
      </w:r>
      <w:r>
        <w:t xml:space="preserve"> </w:t>
      </w:r>
      <w:bookmarkEnd w:id="230"/>
      <w:bookmarkEnd w:id="231"/>
      <w:bookmarkEnd w:id="232"/>
      <w:bookmarkEnd w:id="233"/>
      <w:r>
        <w:rPr>
          <w:rFonts w:hint="eastAsia"/>
        </w:rPr>
        <w:t>发包人要求</w:t>
      </w:r>
    </w:p>
    <w:p>
      <w:pPr>
        <w:pStyle w:val="70"/>
        <w:ind w:firstLine="560"/>
      </w:pPr>
      <w:r>
        <w:rPr>
          <w:rFonts w:hint="eastAsia"/>
        </w:rPr>
        <w:t>发包人要求应尽可能清晰准确，对于可以进行定量评估的工作，发包人要求不仅应明确规定其功能、用途、质量、环境、安全，并且要规定偏差的范围和计算方法，以及检验、试验、试运行的具体要求。对于咨询方负责提供的有关服务，在发包人要求中应一并明确规定。</w:t>
      </w:r>
    </w:p>
    <w:p>
      <w:pPr>
        <w:pStyle w:val="70"/>
        <w:ind w:firstLine="560"/>
      </w:pPr>
      <w:r>
        <w:rPr>
          <w:rFonts w:hint="eastAsia"/>
        </w:rPr>
        <w:t>发包人要求包括但不限于以下内容：</w:t>
      </w:r>
    </w:p>
    <w:p>
      <w:pPr>
        <w:pStyle w:val="4"/>
        <w:ind w:firstLine="560"/>
      </w:pPr>
      <w:r>
        <w:rPr>
          <w:rFonts w:hint="eastAsia"/>
        </w:rPr>
        <w:t>1. 咨询服务要求</w:t>
      </w:r>
    </w:p>
    <w:p>
      <w:pPr>
        <w:pStyle w:val="70"/>
        <w:ind w:firstLine="560"/>
      </w:pPr>
      <w:r>
        <w:rPr>
          <w:rFonts w:hint="eastAsia"/>
        </w:rPr>
        <w:t>1.1 项目概况</w:t>
      </w:r>
    </w:p>
    <w:p>
      <w:pPr>
        <w:pStyle w:val="70"/>
        <w:ind w:firstLine="560"/>
      </w:pPr>
      <w:r>
        <w:rPr>
          <w:rFonts w:hint="eastAsia"/>
        </w:rPr>
        <w:t>金沙水电站位于金沙江干流中游末端的攀枝花河段上，是金沙江攀枝花河段水电规划的梯级水电站之一。电站坝址位于攀枝花市中心城区，上距在建的观音岩水电站坝址28.9km，下距规划的银江水电站坝址约21km。坝址左岸为攀枝花市西区，城市路（苏铁东路）可直达坝区，右岸为攀枝花市仁和区，库尾涉及云南省丽江市华坪县。</w:t>
      </w:r>
    </w:p>
    <w:p>
      <w:pPr>
        <w:pStyle w:val="70"/>
        <w:ind w:firstLine="560"/>
      </w:pPr>
      <w:r>
        <w:rPr>
          <w:rFonts w:hint="eastAsia"/>
        </w:rPr>
        <w:t>1.2. 咨询服务范围及主要研究内容</w:t>
      </w:r>
    </w:p>
    <w:p>
      <w:pPr>
        <w:pStyle w:val="70"/>
        <w:ind w:firstLine="560"/>
        <w:rPr>
          <w:snapToGrid w:val="0"/>
          <w:kern w:val="0"/>
        </w:rPr>
      </w:pPr>
      <w:r>
        <w:rPr>
          <w:rFonts w:hint="eastAsia"/>
          <w:snapToGrid w:val="0"/>
          <w:kern w:val="0"/>
        </w:rPr>
        <w:t>进行金沙水电站蓄水对周边煤矿影响区域矿井突水灾害隐患治理工程质量检测及报告编制，报告内容及深度满足国家及行业现行规程、规范及技术标准要求。</w:t>
      </w:r>
    </w:p>
    <w:p>
      <w:pPr>
        <w:pStyle w:val="70"/>
        <w:ind w:firstLine="560"/>
        <w:rPr>
          <w:snapToGrid w:val="0"/>
          <w:kern w:val="0"/>
        </w:rPr>
      </w:pPr>
      <w:r>
        <w:rPr>
          <w:rFonts w:hint="eastAsia"/>
          <w:snapToGrid w:val="0"/>
          <w:kern w:val="0"/>
        </w:rPr>
        <w:t>负责安排及委托报告涉及的主管部门对检测报告进行评审，直至获得攀枝花市相关主管部门或项目所涉及西区、仁和区相关主管部门对本报告的批复（备案）意见，并符合验收相关要求。</w:t>
      </w:r>
    </w:p>
    <w:p>
      <w:pPr>
        <w:pStyle w:val="70"/>
        <w:ind w:firstLine="560"/>
      </w:pPr>
      <w:r>
        <w:rPr>
          <w:rFonts w:hint="eastAsia"/>
        </w:rPr>
        <w:t>1.3. 咨询服务依据</w:t>
      </w:r>
    </w:p>
    <w:p>
      <w:pPr>
        <w:pStyle w:val="70"/>
        <w:ind w:firstLine="560"/>
      </w:pPr>
      <w:r>
        <w:rPr>
          <w:rFonts w:hint="eastAsia"/>
          <w:highlight w:val="none"/>
        </w:rPr>
        <w:t>按照《四川省能投攀枝花水电开发有限公司金沙江水电站蓄水淹没区对已查明煤矿的安全影响论证报告》和《金沙电站库区水位抬升对库区周边煤矿的影响调查评价报告》，蓄水阶段验收应提交金沙水电站蓄水对周边煤矿影响区域矿井突水灾害隐患治理工程质量检测报告。</w:t>
      </w:r>
    </w:p>
    <w:p>
      <w:pPr>
        <w:pStyle w:val="70"/>
        <w:ind w:firstLine="560"/>
      </w:pPr>
      <w:r>
        <w:rPr>
          <w:rFonts w:hint="eastAsia"/>
        </w:rPr>
        <w:t>1.4. 咨询服务的具体目标</w:t>
      </w:r>
    </w:p>
    <w:p>
      <w:pPr>
        <w:pStyle w:val="70"/>
        <w:ind w:firstLine="560"/>
      </w:pPr>
      <w:r>
        <w:rPr>
          <w:rFonts w:hint="eastAsia"/>
        </w:rPr>
        <w:t>本项目工程质量检测报告编制的内容及深度满足国家和省上相关要求，同时满足相关部门及地方政府项目验收、备案的要求。</w:t>
      </w:r>
    </w:p>
    <w:p>
      <w:pPr>
        <w:pStyle w:val="4"/>
        <w:ind w:firstLine="560"/>
      </w:pPr>
      <w:r>
        <w:rPr>
          <w:rFonts w:hint="eastAsia"/>
        </w:rPr>
        <w:t>2. 适用规范标准</w:t>
      </w:r>
    </w:p>
    <w:p>
      <w:pPr>
        <w:pStyle w:val="76"/>
        <w:numPr>
          <w:ilvl w:val="0"/>
          <w:numId w:val="1"/>
        </w:numPr>
        <w:ind w:firstLineChars="0"/>
      </w:pPr>
      <w:r>
        <w:rPr>
          <w:rFonts w:hint="eastAsia"/>
        </w:rPr>
        <w:t>《水利水电工程物探规程》（</w:t>
      </w:r>
      <w:r>
        <w:t>SL326-2005</w:t>
      </w:r>
      <w:r>
        <w:rPr>
          <w:rFonts w:hint="eastAsia"/>
        </w:rPr>
        <w:t>）</w:t>
      </w:r>
    </w:p>
    <w:p>
      <w:pPr>
        <w:pStyle w:val="76"/>
        <w:numPr>
          <w:ilvl w:val="0"/>
          <w:numId w:val="1"/>
        </w:numPr>
        <w:ind w:firstLineChars="0"/>
      </w:pPr>
      <w:r>
        <w:rPr>
          <w:rFonts w:hint="eastAsia"/>
        </w:rPr>
        <w:t>《水电水利工程钻孔压水试验规程》（DL</w:t>
      </w:r>
      <w:r>
        <w:t>/</w:t>
      </w:r>
      <w:r>
        <w:rPr>
          <w:rFonts w:hint="eastAsia"/>
        </w:rPr>
        <w:t>T 5331-2005）</w:t>
      </w:r>
    </w:p>
    <w:p>
      <w:pPr>
        <w:pStyle w:val="76"/>
        <w:numPr>
          <w:ilvl w:val="0"/>
          <w:numId w:val="1"/>
        </w:numPr>
        <w:ind w:firstLineChars="0"/>
      </w:pPr>
      <w:r>
        <w:rPr>
          <w:rFonts w:hint="eastAsia"/>
        </w:rPr>
        <w:t>《水利水电工程钻探规程》（SL 291—2003）</w:t>
      </w:r>
    </w:p>
    <w:p>
      <w:pPr>
        <w:pStyle w:val="76"/>
        <w:numPr>
          <w:ilvl w:val="0"/>
          <w:numId w:val="1"/>
        </w:numPr>
        <w:ind w:firstLineChars="0"/>
      </w:pPr>
      <w:r>
        <w:rPr>
          <w:rFonts w:hint="eastAsia"/>
        </w:rPr>
        <w:t>《工程岩体试验方法标准》（GBT 50266-2013）</w:t>
      </w:r>
    </w:p>
    <w:p>
      <w:pPr>
        <w:pStyle w:val="4"/>
        <w:ind w:firstLine="560"/>
      </w:pPr>
      <w:r>
        <w:rPr>
          <w:rFonts w:hint="eastAsia"/>
        </w:rPr>
        <w:t>3. 成果文件要求</w:t>
      </w:r>
    </w:p>
    <w:p>
      <w:pPr>
        <w:pStyle w:val="70"/>
        <w:ind w:firstLine="560"/>
      </w:pPr>
      <w:r>
        <w:rPr>
          <w:rFonts w:hint="eastAsia"/>
        </w:rPr>
        <w:t>3.1 成果进度要求</w:t>
      </w:r>
    </w:p>
    <w:p>
      <w:pPr>
        <w:pStyle w:val="70"/>
        <w:ind w:firstLine="560"/>
        <w:rPr>
          <w:lang w:bidi="en-US"/>
        </w:rPr>
      </w:pPr>
      <w:r>
        <w:rPr>
          <w:rFonts w:hint="eastAsia"/>
        </w:rPr>
        <w:t>合同签订之日起至</w:t>
      </w:r>
      <w:bookmarkStart w:id="236" w:name="_Hlk45642324"/>
      <w:r>
        <w:rPr>
          <w:rFonts w:hint="eastAsia"/>
        </w:rPr>
        <w:t>金沙水电站蓄水对周边煤矿影响区域矿井突水灾害隐患治理工程质量检测报告</w:t>
      </w:r>
      <w:bookmarkEnd w:id="236"/>
      <w:r>
        <w:rPr>
          <w:rFonts w:hint="eastAsia"/>
        </w:rPr>
        <w:t>阶段性验收通过</w:t>
      </w:r>
      <w:r>
        <w:rPr>
          <w:rFonts w:hint="eastAsia"/>
          <w:lang w:bidi="en-US"/>
        </w:rPr>
        <w:t>。进度要求如下：</w:t>
      </w:r>
    </w:p>
    <w:p>
      <w:pPr>
        <w:pStyle w:val="70"/>
        <w:ind w:firstLine="560"/>
        <w:rPr>
          <w:snapToGrid w:val="0"/>
          <w:kern w:val="0"/>
        </w:rPr>
      </w:pPr>
      <w:r>
        <w:rPr>
          <w:rFonts w:hint="eastAsia"/>
          <w:snapToGrid w:val="0"/>
          <w:kern w:val="0"/>
        </w:rPr>
        <w:t>签署合同后45天内向招标人提交符合审查要求的《金沙水电站蓄水对周边煤矿影响区域矿井突水灾害隐患治理工程质量检测报告》。</w:t>
      </w:r>
    </w:p>
    <w:p>
      <w:pPr>
        <w:pStyle w:val="70"/>
        <w:ind w:firstLine="560"/>
        <w:rPr>
          <w:snapToGrid w:val="0"/>
          <w:kern w:val="0"/>
        </w:rPr>
      </w:pPr>
      <w:r>
        <w:rPr>
          <w:rFonts w:hint="eastAsia"/>
          <w:snapToGrid w:val="0"/>
          <w:kern w:val="0"/>
        </w:rPr>
        <w:t>根据有关行业行政主管部门对《</w:t>
      </w:r>
      <w:bookmarkStart w:id="237" w:name="_Hlk45641389"/>
      <w:r>
        <w:rPr>
          <w:rFonts w:hint="eastAsia"/>
          <w:snapToGrid w:val="0"/>
          <w:kern w:val="0"/>
        </w:rPr>
        <w:t>金沙水电站蓄水对周边煤矿影响区域矿井突水灾害隐患治理工程质量检测</w:t>
      </w:r>
      <w:bookmarkEnd w:id="237"/>
      <w:r>
        <w:rPr>
          <w:rFonts w:hint="eastAsia"/>
          <w:snapToGrid w:val="0"/>
          <w:kern w:val="0"/>
        </w:rPr>
        <w:t>报告》的技术评审意见进行修改，且在技术评审会后7天内，完成对《金沙水电站蓄水对周边煤矿影响区域矿井突水灾害隐患治理工程质量检测报告》审定本的修改，并向招标人提交审定后的《金沙水电站蓄水对周边煤矿影响区域矿井突水灾害隐患治理工程质量检测报告》。</w:t>
      </w:r>
    </w:p>
    <w:p>
      <w:pPr>
        <w:pStyle w:val="70"/>
        <w:ind w:firstLine="560"/>
        <w:rPr>
          <w:snapToGrid w:val="0"/>
          <w:kern w:val="0"/>
        </w:rPr>
      </w:pPr>
      <w:r>
        <w:rPr>
          <w:rFonts w:hint="eastAsia"/>
          <w:snapToGrid w:val="0"/>
          <w:kern w:val="0"/>
        </w:rPr>
        <w:t>根据验收进度需要，负责安排及委托报告涉及的主管部门对检测报告进行评审，直至获得攀枝花市相关主管部门或项目所涉及西区、仁和区相关主管部门对本报告的批复（备案）意见，并符合项目验收要求。</w:t>
      </w:r>
    </w:p>
    <w:p>
      <w:pPr>
        <w:pStyle w:val="70"/>
        <w:ind w:firstLine="560"/>
      </w:pPr>
      <w:r>
        <w:rPr>
          <w:rFonts w:hint="eastAsia"/>
        </w:rPr>
        <w:t>3.2成果文件质量要求</w:t>
      </w:r>
    </w:p>
    <w:p>
      <w:pPr>
        <w:pStyle w:val="70"/>
        <w:ind w:firstLine="560"/>
        <w:rPr>
          <w:snapToGrid w:val="0"/>
          <w:kern w:val="0"/>
        </w:rPr>
      </w:pPr>
      <w:r>
        <w:rPr>
          <w:rFonts w:hint="eastAsia"/>
          <w:snapToGrid w:val="0"/>
          <w:kern w:val="0"/>
          <w:highlight w:val="none"/>
        </w:rPr>
        <w:t>要求《金沙水电站蓄水对周边煤矿影响区域矿井突水灾害隐患治理工程质量检测报告》对发包人在项目验收、项目实施等阶段具有实质性的指导意义。</w:t>
      </w:r>
    </w:p>
    <w:p>
      <w:pPr>
        <w:spacing w:before="0" w:after="0" w:line="240" w:lineRule="auto"/>
        <w:jc w:val="left"/>
        <w:rPr>
          <w:rFonts w:ascii="Times New Roman" w:hAnsi="Times New Roman" w:eastAsia="宋体"/>
        </w:rPr>
      </w:pPr>
      <w:r>
        <w:rPr>
          <w:rFonts w:ascii="Times New Roman" w:hAnsi="Times New Roman" w:eastAsia="宋体"/>
        </w:rPr>
        <w:br w:type="page"/>
      </w:r>
    </w:p>
    <w:p>
      <w:pPr>
        <w:pStyle w:val="2"/>
      </w:pPr>
      <w:bookmarkStart w:id="238" w:name="_Toc31411"/>
      <w:bookmarkStart w:id="239" w:name="_Toc23446"/>
      <w:bookmarkStart w:id="240" w:name="_Toc6245"/>
      <w:bookmarkStart w:id="241" w:name="_Toc45613987"/>
      <w:r>
        <w:rPr>
          <w:rFonts w:hint="eastAsia"/>
        </w:rPr>
        <w:t>第六章  投标文件的格式</w:t>
      </w:r>
      <w:bookmarkEnd w:id="234"/>
      <w:bookmarkEnd w:id="235"/>
      <w:bookmarkEnd w:id="238"/>
      <w:bookmarkEnd w:id="239"/>
      <w:bookmarkEnd w:id="240"/>
      <w:bookmarkEnd w:id="241"/>
    </w:p>
    <w:p>
      <w:pPr>
        <w:pStyle w:val="71"/>
      </w:pPr>
    </w:p>
    <w:p>
      <w:pPr>
        <w:spacing w:before="0" w:after="0" w:line="240" w:lineRule="auto"/>
        <w:jc w:val="left"/>
        <w:rPr>
          <w:rFonts w:ascii="Times New Roman" w:hAnsi="Times New Roman" w:eastAsia="宋体" w:cs="Arial"/>
          <w:b/>
          <w:sz w:val="28"/>
          <w:szCs w:val="28"/>
        </w:rPr>
      </w:pPr>
    </w:p>
    <w:p>
      <w:pPr>
        <w:pStyle w:val="72"/>
        <w:jc w:val="both"/>
      </w:pPr>
    </w:p>
    <w:p>
      <w:pPr>
        <w:pStyle w:val="72"/>
      </w:pPr>
    </w:p>
    <w:p>
      <w:pPr>
        <w:pStyle w:val="73"/>
        <w:rPr>
          <w:rFonts w:hint="eastAsia"/>
        </w:rPr>
      </w:pPr>
      <w:r>
        <w:rPr>
          <w:rFonts w:hint="eastAsia"/>
        </w:rPr>
        <w:t>金沙江金沙水电站</w:t>
      </w:r>
    </w:p>
    <w:p>
      <w:pPr>
        <w:pStyle w:val="73"/>
        <w:rPr>
          <w:rFonts w:hint="eastAsia"/>
        </w:rPr>
      </w:pPr>
      <w:r>
        <w:rPr>
          <w:rFonts w:hint="eastAsia"/>
        </w:rPr>
        <w:t>蓄水对周边煤矿影响区域矿井突水灾害隐患治理工程质量检测</w:t>
      </w:r>
      <w:r>
        <w:rPr>
          <w:rFonts w:hint="eastAsia"/>
          <w:lang w:val="en-US" w:eastAsia="zh-CN"/>
        </w:rPr>
        <w:t>服务</w:t>
      </w:r>
    </w:p>
    <w:p>
      <w:pPr>
        <w:pStyle w:val="73"/>
      </w:pPr>
      <w:r>
        <w:t>投标文件</w:t>
      </w:r>
    </w:p>
    <w:p>
      <w:pPr>
        <w:pStyle w:val="72"/>
        <w:rPr>
          <w:color w:val="000000"/>
        </w:rPr>
      </w:pPr>
      <w:r>
        <w:rPr>
          <w:rFonts w:hint="eastAsia"/>
          <w:color w:val="000000"/>
        </w:rPr>
        <w:t>（</w:t>
      </w:r>
      <w:r>
        <w:rPr>
          <w:rFonts w:hint="eastAsia"/>
        </w:rPr>
        <w:t>招标编号：</w:t>
      </w:r>
      <w:r>
        <w:rPr>
          <w:rFonts w:hint="eastAsia"/>
          <w:color w:val="000000"/>
        </w:rPr>
        <w:t>）</w:t>
      </w:r>
    </w:p>
    <w:p>
      <w:pPr>
        <w:pStyle w:val="72"/>
      </w:pPr>
    </w:p>
    <w:p>
      <w:pPr>
        <w:pStyle w:val="72"/>
      </w:pPr>
    </w:p>
    <w:p>
      <w:pPr>
        <w:pStyle w:val="72"/>
      </w:pPr>
    </w:p>
    <w:p>
      <w:pPr>
        <w:pStyle w:val="72"/>
      </w:pPr>
    </w:p>
    <w:p>
      <w:pPr>
        <w:pStyle w:val="72"/>
      </w:pPr>
    </w:p>
    <w:p>
      <w:pPr>
        <w:pStyle w:val="72"/>
        <w:rPr>
          <w:sz w:val="32"/>
          <w:szCs w:val="32"/>
        </w:rPr>
      </w:pPr>
    </w:p>
    <w:p>
      <w:pPr>
        <w:pStyle w:val="74"/>
        <w:spacing w:before="166" w:after="166"/>
      </w:pPr>
      <w:r>
        <w:rPr>
          <w:rFonts w:hint="eastAsia"/>
        </w:rPr>
        <w:t>投标人：（盖公章）</w:t>
      </w:r>
    </w:p>
    <w:p>
      <w:pPr>
        <w:pStyle w:val="74"/>
        <w:spacing w:before="166" w:after="166"/>
      </w:pPr>
      <w:r>
        <w:rPr>
          <w:rFonts w:hint="eastAsia"/>
        </w:rPr>
        <w:t>日期：    年   月   日</w:t>
      </w:r>
    </w:p>
    <w:p>
      <w:pPr>
        <w:pStyle w:val="74"/>
        <w:spacing w:before="166" w:after="166"/>
      </w:pPr>
    </w:p>
    <w:p>
      <w:pPr>
        <w:pStyle w:val="79"/>
      </w:pPr>
      <w:r>
        <w:rPr>
          <w:rFonts w:hint="eastAsia"/>
        </w:rPr>
        <w:t>1</w:t>
      </w:r>
      <w:r>
        <w:t xml:space="preserve">. </w:t>
      </w:r>
      <w:r>
        <w:rPr>
          <w:rFonts w:hint="eastAsia"/>
        </w:rPr>
        <w:t>投标申请函、法定代表人身份证明、法定代表人授权委托书</w:t>
      </w:r>
    </w:p>
    <w:p>
      <w:pPr>
        <w:pStyle w:val="77"/>
      </w:pPr>
      <w:r>
        <w:rPr>
          <w:rFonts w:hint="eastAsia"/>
        </w:rPr>
        <w:t>投标申请函</w:t>
      </w:r>
    </w:p>
    <w:p>
      <w:pPr>
        <w:pStyle w:val="82"/>
      </w:pPr>
    </w:p>
    <w:p>
      <w:pPr>
        <w:pStyle w:val="82"/>
      </w:pPr>
      <w:r>
        <w:rPr>
          <w:rFonts w:hint="eastAsia"/>
        </w:rPr>
        <w:t>致招标人：</w:t>
      </w:r>
      <w:r>
        <w:rPr>
          <w:rFonts w:hint="eastAsia"/>
          <w:u w:val="single"/>
        </w:rPr>
        <w:t>四川省能投攀枝花水电开发有限公司</w:t>
      </w:r>
    </w:p>
    <w:p>
      <w:pPr>
        <w:pStyle w:val="76"/>
        <w:ind w:firstLine="560"/>
      </w:pPr>
      <w:r>
        <w:rPr>
          <w:rFonts w:hint="eastAsia"/>
        </w:rPr>
        <w:t>按照招标公告的要求，我们递交有关资料文件，以便贵单位审查我们参加</w:t>
      </w:r>
      <w:r>
        <w:rPr>
          <w:u w:val="single"/>
        </w:rPr>
        <w:t xml:space="preserve"> </w:t>
      </w:r>
      <w:r>
        <w:rPr>
          <w:rFonts w:hint="eastAsia"/>
          <w:u w:val="single"/>
        </w:rPr>
        <w:t>金沙水电站蓄水对周边煤矿影响区域矿井突水灾害隐患治理工程质量检测</w:t>
      </w:r>
      <w:r>
        <w:rPr>
          <w:rFonts w:hint="eastAsia"/>
          <w:u w:val="single"/>
          <w:lang w:val="en-US" w:eastAsia="zh-CN"/>
        </w:rPr>
        <w:t>服务</w:t>
      </w:r>
      <w:r>
        <w:rPr>
          <w:u w:val="single"/>
        </w:rPr>
        <w:t xml:space="preserve"> </w:t>
      </w:r>
      <w:r>
        <w:rPr>
          <w:rFonts w:hint="eastAsia"/>
        </w:rPr>
        <w:t>项目投标资格。</w:t>
      </w:r>
    </w:p>
    <w:p>
      <w:pPr>
        <w:pStyle w:val="76"/>
        <w:ind w:firstLine="560"/>
      </w:pPr>
      <w:r>
        <w:rPr>
          <w:rFonts w:hint="eastAsia"/>
        </w:rPr>
        <w:t>此申请是</w:t>
      </w:r>
      <w:r>
        <w:rPr>
          <w:u w:val="single"/>
        </w:rPr>
        <w:t xml:space="preserve">               </w:t>
      </w:r>
      <w:r>
        <w:rPr>
          <w:rFonts w:hint="eastAsia"/>
        </w:rPr>
        <w:t>以</w:t>
      </w:r>
      <w:r>
        <w:rPr>
          <w:u w:val="single"/>
        </w:rPr>
        <w:t xml:space="preserve">                </w:t>
      </w:r>
      <w:r>
        <w:rPr>
          <w:rFonts w:hint="eastAsia"/>
        </w:rPr>
        <w:t>为全权代表身份递交的。我们保证所有提交的资料是真实可靠的，并为提交的资料负有相应的.法律责任。我们理解招标单位有权拒绝任何申请，而无需由招标单位承担任何责任。</w:t>
      </w:r>
    </w:p>
    <w:p>
      <w:pPr>
        <w:pStyle w:val="76"/>
        <w:ind w:firstLine="2974" w:firstLineChars="1062"/>
      </w:pPr>
      <w:r>
        <w:rPr>
          <w:rFonts w:hint="eastAsia"/>
        </w:rPr>
        <w:t>申请单位名称：</w:t>
      </w:r>
      <w:r>
        <w:rPr>
          <w:rFonts w:hint="eastAsia"/>
          <w:u w:val="single"/>
        </w:rPr>
        <w:t xml:space="preserve"> </w:t>
      </w:r>
      <w:r>
        <w:rPr>
          <w:u w:val="single"/>
        </w:rPr>
        <w:t xml:space="preserve">                       </w:t>
      </w:r>
      <w:r>
        <w:rPr>
          <w:rFonts w:hint="eastAsia"/>
        </w:rPr>
        <w:t>（盖章）</w:t>
      </w:r>
    </w:p>
    <w:p>
      <w:pPr>
        <w:pStyle w:val="76"/>
        <w:ind w:firstLine="2974" w:firstLineChars="1062"/>
        <w:rPr>
          <w:u w:val="single"/>
        </w:rPr>
      </w:pPr>
      <w:r>
        <w:rPr>
          <w:rFonts w:hint="eastAsia"/>
        </w:rPr>
        <w:t>申请单位授权人（签字）：</w:t>
      </w:r>
      <w:r>
        <w:rPr>
          <w:rFonts w:hint="eastAsia"/>
          <w:u w:val="single"/>
        </w:rPr>
        <w:t xml:space="preserve"> </w:t>
      </w:r>
      <w:r>
        <w:rPr>
          <w:u w:val="single"/>
        </w:rPr>
        <w:t xml:space="preserve">             </w:t>
      </w:r>
    </w:p>
    <w:p>
      <w:pPr>
        <w:pStyle w:val="76"/>
        <w:ind w:firstLine="2974" w:firstLineChars="1062"/>
      </w:pPr>
      <w:r>
        <w:rPr>
          <w:rFonts w:hint="eastAsia"/>
        </w:rPr>
        <w:t>申请日期：</w:t>
      </w:r>
      <w:r>
        <w:rPr>
          <w:rFonts w:hint="eastAsia"/>
          <w:u w:val="single"/>
        </w:rPr>
        <w:t xml:space="preserve"> </w:t>
      </w:r>
      <w:r>
        <w:rPr>
          <w:u w:val="single"/>
        </w:rPr>
        <w:t xml:space="preserve">     </w:t>
      </w:r>
      <w:r>
        <w:rPr>
          <w:rFonts w:hint="eastAsia"/>
        </w:rPr>
        <w:t>年</w:t>
      </w:r>
      <w:r>
        <w:rPr>
          <w:u w:val="single"/>
        </w:rPr>
        <w:t xml:space="preserve">    </w:t>
      </w:r>
      <w:r>
        <w:rPr>
          <w:rFonts w:hint="eastAsia"/>
        </w:rPr>
        <w:t>月</w:t>
      </w:r>
      <w:r>
        <w:rPr>
          <w:u w:val="single"/>
        </w:rPr>
        <w:t xml:space="preserve">    </w:t>
      </w:r>
      <w:r>
        <w:rPr>
          <w:rFonts w:hint="eastAsia"/>
        </w:rPr>
        <w:t>日</w:t>
      </w:r>
    </w:p>
    <w:p>
      <w:pPr>
        <w:spacing w:before="0" w:after="0" w:line="240" w:lineRule="auto"/>
        <w:jc w:val="left"/>
        <w:rPr>
          <w:rFonts w:ascii="Times New Roman" w:hAnsi="Times New Roman" w:eastAsia="宋体"/>
          <w:sz w:val="28"/>
          <w:szCs w:val="28"/>
        </w:rPr>
      </w:pPr>
      <w:r>
        <w:br w:type="page"/>
      </w:r>
    </w:p>
    <w:p>
      <w:pPr>
        <w:pStyle w:val="77"/>
      </w:pPr>
      <w:r>
        <w:rPr>
          <w:rFonts w:hint="eastAsia"/>
        </w:rPr>
        <w:t>法定代表人身份证明</w:t>
      </w:r>
    </w:p>
    <w:p>
      <w:pPr>
        <w:pStyle w:val="59"/>
        <w:ind w:firstLine="0" w:firstLineChars="0"/>
        <w:rPr>
          <w:kern w:val="44"/>
          <w:szCs w:val="32"/>
          <w:u w:val="single"/>
        </w:rPr>
      </w:pPr>
      <w:r>
        <w:rPr>
          <w:rFonts w:hint="eastAsia" w:cs="宋体"/>
          <w:lang w:val="zh-CN"/>
        </w:rPr>
        <w:t>投标人名称：</w:t>
      </w:r>
      <w:r>
        <w:rPr>
          <w:rFonts w:hint="eastAsia"/>
          <w:u w:val="single"/>
        </w:rPr>
        <w:t xml:space="preserve"> </w:t>
      </w:r>
      <w:r>
        <w:rPr>
          <w:u w:val="single"/>
        </w:rPr>
        <w:t xml:space="preserve">                                      </w:t>
      </w:r>
    </w:p>
    <w:p>
      <w:pPr>
        <w:autoSpaceDE w:val="0"/>
        <w:autoSpaceDN w:val="0"/>
        <w:adjustRightInd w:val="0"/>
        <w:spacing w:line="440" w:lineRule="atLeast"/>
        <w:rPr>
          <w:rFonts w:ascii="宋体" w:hAnsi="宋体"/>
          <w:kern w:val="0"/>
          <w:szCs w:val="21"/>
        </w:rPr>
      </w:pPr>
      <w:r>
        <w:rPr>
          <w:rFonts w:hint="eastAsia" w:ascii="宋体" w:hAnsi="宋体" w:cs="宋体"/>
          <w:kern w:val="0"/>
          <w:szCs w:val="21"/>
          <w:lang w:val="zh-CN"/>
        </w:rPr>
        <w:t>单位性质：</w:t>
      </w:r>
      <w:r>
        <w:rPr>
          <w:rFonts w:hint="eastAsia" w:ascii="宋体" w:hAnsi="宋体" w:cs="宋体"/>
          <w:kern w:val="0"/>
          <w:szCs w:val="21"/>
          <w:u w:val="single"/>
          <w:lang w:val="zh-CN"/>
        </w:rPr>
        <w:t xml:space="preserve"> </w:t>
      </w:r>
      <w:r>
        <w:rPr>
          <w:rFonts w:ascii="宋体" w:hAnsi="宋体" w:cs="宋体"/>
          <w:kern w:val="0"/>
          <w:szCs w:val="21"/>
          <w:u w:val="single"/>
          <w:lang w:val="zh-CN"/>
        </w:rPr>
        <w:t xml:space="preserve">                                       </w:t>
      </w:r>
      <w:r>
        <w:rPr>
          <w:rFonts w:ascii="宋体" w:hAnsi="宋体"/>
          <w:kern w:val="0"/>
          <w:szCs w:val="21"/>
        </w:rPr>
        <w:t xml:space="preserve"> </w:t>
      </w:r>
    </w:p>
    <w:p>
      <w:pPr>
        <w:autoSpaceDE w:val="0"/>
        <w:autoSpaceDN w:val="0"/>
        <w:adjustRightInd w:val="0"/>
        <w:spacing w:line="440" w:lineRule="atLeast"/>
        <w:rPr>
          <w:rFonts w:ascii="宋体" w:hAnsi="宋体"/>
          <w:kern w:val="0"/>
          <w:szCs w:val="21"/>
          <w:u w:val="single"/>
        </w:rPr>
      </w:pPr>
      <w:r>
        <w:rPr>
          <w:rFonts w:hint="eastAsia" w:ascii="宋体" w:hAnsi="宋体" w:cs="宋体"/>
          <w:kern w:val="0"/>
          <w:szCs w:val="21"/>
          <w:lang w:val="zh-CN"/>
        </w:rPr>
        <w:t>地址：</w:t>
      </w:r>
      <w:r>
        <w:rPr>
          <w:rFonts w:hint="eastAsia" w:ascii="宋体" w:hAnsi="宋体"/>
          <w:kern w:val="0"/>
          <w:szCs w:val="21"/>
          <w:u w:val="single"/>
        </w:rPr>
        <w:t xml:space="preserve"> </w:t>
      </w:r>
      <w:r>
        <w:rPr>
          <w:rFonts w:ascii="宋体" w:hAnsi="宋体"/>
          <w:kern w:val="0"/>
          <w:szCs w:val="21"/>
          <w:u w:val="single"/>
        </w:rPr>
        <w:t xml:space="preserve">                                   </w:t>
      </w:r>
    </w:p>
    <w:p>
      <w:pPr>
        <w:autoSpaceDE w:val="0"/>
        <w:autoSpaceDN w:val="0"/>
        <w:adjustRightInd w:val="0"/>
        <w:spacing w:line="440" w:lineRule="atLeast"/>
        <w:rPr>
          <w:rFonts w:ascii="宋体" w:hAnsi="宋体"/>
          <w:kern w:val="0"/>
          <w:szCs w:val="21"/>
        </w:rPr>
      </w:pPr>
      <w:r>
        <w:rPr>
          <w:rFonts w:hint="eastAsia" w:ascii="宋体" w:hAnsi="宋体" w:cs="宋体"/>
          <w:kern w:val="0"/>
          <w:szCs w:val="21"/>
          <w:lang w:val="zh-CN"/>
        </w:rPr>
        <w:t>成立时间：</w:t>
      </w:r>
      <w:r>
        <w:rPr>
          <w:rFonts w:ascii="宋体" w:hAnsi="宋体"/>
          <w:kern w:val="0"/>
          <w:szCs w:val="21"/>
          <w:u w:val="single"/>
        </w:rPr>
        <w:t xml:space="preserve">           </w:t>
      </w:r>
      <w:r>
        <w:rPr>
          <w:rFonts w:hint="eastAsia" w:ascii="宋体" w:hAnsi="宋体" w:cs="宋体"/>
          <w:kern w:val="0"/>
          <w:szCs w:val="21"/>
          <w:lang w:val="zh-CN"/>
        </w:rPr>
        <w:t>年</w:t>
      </w:r>
      <w:r>
        <w:rPr>
          <w:rFonts w:ascii="宋体" w:hAnsi="宋体"/>
          <w:kern w:val="0"/>
          <w:szCs w:val="21"/>
          <w:u w:val="single"/>
        </w:rPr>
        <w:t xml:space="preserve">             </w:t>
      </w:r>
      <w:r>
        <w:rPr>
          <w:rFonts w:hint="eastAsia" w:ascii="宋体" w:hAnsi="宋体" w:cs="宋体"/>
          <w:kern w:val="0"/>
          <w:szCs w:val="21"/>
          <w:lang w:val="zh-CN"/>
        </w:rPr>
        <w:t>月</w:t>
      </w:r>
      <w:r>
        <w:rPr>
          <w:rFonts w:ascii="宋体" w:hAnsi="宋体"/>
          <w:kern w:val="0"/>
          <w:szCs w:val="21"/>
          <w:u w:val="single"/>
        </w:rPr>
        <w:t xml:space="preserve">               </w:t>
      </w:r>
      <w:r>
        <w:rPr>
          <w:rFonts w:hint="eastAsia" w:ascii="宋体" w:hAnsi="宋体" w:cs="宋体"/>
          <w:kern w:val="0"/>
          <w:szCs w:val="21"/>
          <w:lang w:val="zh-CN"/>
        </w:rPr>
        <w:t>日</w:t>
      </w:r>
    </w:p>
    <w:p>
      <w:pPr>
        <w:autoSpaceDE w:val="0"/>
        <w:autoSpaceDN w:val="0"/>
        <w:adjustRightInd w:val="0"/>
        <w:spacing w:line="440" w:lineRule="atLeast"/>
        <w:rPr>
          <w:rFonts w:ascii="宋体" w:hAnsi="宋体"/>
          <w:kern w:val="0"/>
          <w:szCs w:val="21"/>
        </w:rPr>
      </w:pPr>
      <w:r>
        <w:rPr>
          <w:rFonts w:hint="eastAsia" w:ascii="宋体" w:hAnsi="宋体" w:cs="宋体"/>
          <w:kern w:val="0"/>
          <w:szCs w:val="21"/>
          <w:lang w:val="zh-CN"/>
        </w:rPr>
        <w:t>经营期限：</w:t>
      </w:r>
      <w:r>
        <w:rPr>
          <w:u w:val="single"/>
        </w:rPr>
        <w:t xml:space="preserve">                              </w:t>
      </w:r>
    </w:p>
    <w:p>
      <w:pPr>
        <w:autoSpaceDE w:val="0"/>
        <w:autoSpaceDN w:val="0"/>
        <w:adjustRightInd w:val="0"/>
        <w:spacing w:line="440" w:lineRule="atLeast"/>
        <w:rPr>
          <w:rFonts w:ascii="宋体" w:hAnsi="宋体"/>
          <w:kern w:val="0"/>
          <w:szCs w:val="21"/>
        </w:rPr>
      </w:pPr>
      <w:r>
        <w:rPr>
          <w:rFonts w:hint="eastAsia" w:ascii="宋体" w:hAnsi="宋体" w:cs="宋体"/>
          <w:kern w:val="0"/>
          <w:szCs w:val="21"/>
          <w:lang w:val="zh-CN"/>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cs="宋体"/>
          <w:kern w:val="0"/>
          <w:szCs w:val="21"/>
          <w:lang w:val="zh-CN"/>
        </w:rPr>
        <w:t>性别：</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cs="宋体"/>
          <w:kern w:val="0"/>
          <w:szCs w:val="21"/>
          <w:lang w:val="zh-CN"/>
        </w:rPr>
        <w:t>年龄：</w:t>
      </w:r>
      <w:r>
        <w:rPr>
          <w:rFonts w:ascii="宋体" w:hAnsi="宋体"/>
          <w:kern w:val="0"/>
          <w:szCs w:val="21"/>
          <w:u w:val="single"/>
        </w:rPr>
        <w:t xml:space="preserve">              </w:t>
      </w:r>
      <w:r>
        <w:rPr>
          <w:rFonts w:hint="eastAsia" w:ascii="宋体" w:hAnsi="宋体" w:cs="宋体"/>
          <w:kern w:val="0"/>
          <w:szCs w:val="21"/>
          <w:lang w:val="zh-CN"/>
        </w:rPr>
        <w:t>职务：</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autoSpaceDE w:val="0"/>
        <w:autoSpaceDN w:val="0"/>
        <w:adjustRightInd w:val="0"/>
        <w:spacing w:line="440" w:lineRule="atLeast"/>
        <w:rPr>
          <w:rFonts w:ascii="宋体" w:hAnsi="宋体"/>
          <w:kern w:val="0"/>
          <w:szCs w:val="21"/>
        </w:rPr>
      </w:pPr>
      <w:r>
        <w:rPr>
          <w:rFonts w:hint="eastAsia" w:ascii="宋体" w:hAnsi="宋体" w:cs="宋体"/>
          <w:kern w:val="0"/>
          <w:szCs w:val="21"/>
          <w:lang w:val="zh-CN"/>
        </w:rPr>
        <w:t>系</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cs="宋体"/>
          <w:kern w:val="0"/>
          <w:szCs w:val="21"/>
          <w:lang w:val="zh-CN"/>
        </w:rPr>
        <w:t>（投标人名称）的法定代表人。</w:t>
      </w:r>
    </w:p>
    <w:p>
      <w:pPr>
        <w:autoSpaceDE w:val="0"/>
        <w:autoSpaceDN w:val="0"/>
        <w:adjustRightInd w:val="0"/>
        <w:spacing w:line="440" w:lineRule="atLeast"/>
        <w:ind w:firstLine="420"/>
        <w:rPr>
          <w:rFonts w:ascii="宋体" w:hAnsi="宋体"/>
          <w:kern w:val="0"/>
          <w:szCs w:val="21"/>
        </w:rPr>
      </w:pPr>
      <w:r>
        <w:rPr>
          <w:rFonts w:hint="eastAsia" w:ascii="宋体" w:hAnsi="宋体" w:cs="宋体"/>
          <w:kern w:val="0"/>
          <w:szCs w:val="21"/>
          <w:lang w:val="zh-CN"/>
        </w:rPr>
        <w:t>特此证明。</w:t>
      </w:r>
    </w:p>
    <w:p>
      <w:pPr>
        <w:autoSpaceDE w:val="0"/>
        <w:autoSpaceDN w:val="0"/>
        <w:adjustRightInd w:val="0"/>
        <w:spacing w:line="440" w:lineRule="atLeast"/>
        <w:rPr>
          <w:rFonts w:ascii="宋体" w:hAnsi="宋体"/>
          <w:kern w:val="0"/>
          <w:szCs w:val="21"/>
        </w:rPr>
      </w:pPr>
    </w:p>
    <w:p>
      <w:pPr>
        <w:autoSpaceDE w:val="0"/>
        <w:autoSpaceDN w:val="0"/>
        <w:adjustRightInd w:val="0"/>
        <w:spacing w:line="440" w:lineRule="atLeast"/>
        <w:rPr>
          <w:rFonts w:ascii="宋体" w:hAnsi="宋体"/>
          <w:kern w:val="0"/>
          <w:szCs w:val="21"/>
        </w:rPr>
      </w:pPr>
      <w:r>
        <w:rPr>
          <w:rFonts w:hint="eastAsia" w:ascii="宋体" w:hAnsi="宋体" w:cs="宋体"/>
          <w:kern w:val="0"/>
          <w:szCs w:val="21"/>
          <w:lang w:val="zh-CN"/>
        </w:rPr>
        <w:t>附：法定代表人身份证复印件。</w:t>
      </w:r>
    </w:p>
    <w:p>
      <w:pPr>
        <w:autoSpaceDE w:val="0"/>
        <w:autoSpaceDN w:val="0"/>
        <w:adjustRightInd w:val="0"/>
        <w:spacing w:line="440" w:lineRule="atLeast"/>
        <w:rPr>
          <w:rFonts w:ascii="宋体" w:hAnsi="宋体"/>
          <w:kern w:val="0"/>
          <w:szCs w:val="21"/>
        </w:rPr>
      </w:pPr>
    </w:p>
    <w:p>
      <w:pPr>
        <w:autoSpaceDE w:val="0"/>
        <w:autoSpaceDN w:val="0"/>
        <w:adjustRightInd w:val="0"/>
        <w:spacing w:line="440" w:lineRule="atLeast"/>
        <w:rPr>
          <w:rFonts w:ascii="宋体" w:hAnsi="宋体"/>
          <w:kern w:val="0"/>
          <w:szCs w:val="21"/>
        </w:rPr>
      </w:pPr>
      <w:r>
        <w:rPr>
          <w:rFonts w:ascii="宋体" w:hAnsi="宋体"/>
          <w:kern w:val="0"/>
          <w:szCs w:val="21"/>
        </w:rPr>
        <w:t xml:space="preserve">                          </w:t>
      </w:r>
      <w:r>
        <w:rPr>
          <w:rFonts w:hint="eastAsia" w:ascii="宋体" w:hAnsi="宋体" w:cs="宋体"/>
          <w:kern w:val="0"/>
          <w:szCs w:val="21"/>
          <w:lang w:val="zh-CN"/>
        </w:rPr>
        <w:t>投标人：</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cs="宋体"/>
          <w:kern w:val="0"/>
          <w:szCs w:val="21"/>
          <w:lang w:val="zh-CN"/>
        </w:rPr>
        <w:t>（盖单位章）</w:t>
      </w:r>
    </w:p>
    <w:p>
      <w:pPr>
        <w:spacing w:before="0" w:after="0" w:line="240" w:lineRule="auto"/>
        <w:jc w:val="left"/>
        <w:rPr>
          <w:rFonts w:ascii="宋体" w:hAnsi="宋体"/>
          <w:kern w:val="0"/>
          <w:szCs w:val="21"/>
        </w:rPr>
      </w:pP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 xml:space="preserve">    </w:t>
      </w:r>
      <w:r>
        <w:rPr>
          <w:rFonts w:ascii="宋体" w:hAnsi="宋体"/>
          <w:kern w:val="0"/>
          <w:szCs w:val="21"/>
          <w:u w:val="single"/>
        </w:rPr>
        <w:t xml:space="preserve">             </w:t>
      </w:r>
      <w:r>
        <w:rPr>
          <w:rFonts w:hint="eastAsia" w:ascii="宋体" w:hAnsi="宋体" w:cs="宋体"/>
          <w:kern w:val="0"/>
          <w:szCs w:val="21"/>
          <w:lang w:val="zh-CN"/>
        </w:rPr>
        <w:t>年</w:t>
      </w:r>
      <w:r>
        <w:rPr>
          <w:rFonts w:ascii="宋体" w:hAnsi="宋体"/>
          <w:kern w:val="0"/>
          <w:szCs w:val="21"/>
          <w:u w:val="single"/>
        </w:rPr>
        <w:t xml:space="preserve">           </w:t>
      </w:r>
      <w:r>
        <w:rPr>
          <w:rFonts w:hint="eastAsia" w:ascii="宋体" w:hAnsi="宋体" w:cs="宋体"/>
          <w:kern w:val="0"/>
          <w:szCs w:val="21"/>
          <w:lang w:val="zh-CN"/>
        </w:rPr>
        <w:t>月</w:t>
      </w:r>
      <w:r>
        <w:rPr>
          <w:rFonts w:ascii="宋体" w:hAnsi="宋体"/>
          <w:kern w:val="0"/>
          <w:szCs w:val="21"/>
          <w:u w:val="single"/>
        </w:rPr>
        <w:t xml:space="preserve">          </w:t>
      </w:r>
      <w:r>
        <w:rPr>
          <w:rFonts w:hint="eastAsia" w:ascii="宋体" w:hAnsi="宋体" w:cs="宋体"/>
          <w:kern w:val="0"/>
          <w:szCs w:val="21"/>
          <w:lang w:val="zh-CN"/>
        </w:rPr>
        <w:t>日</w:t>
      </w:r>
      <w:r>
        <w:rPr>
          <w:rFonts w:ascii="宋体" w:hAnsi="宋体"/>
          <w:kern w:val="0"/>
          <w:szCs w:val="21"/>
        </w:rPr>
        <w:t xml:space="preserve">   </w:t>
      </w:r>
    </w:p>
    <w:p>
      <w:pPr>
        <w:pStyle w:val="13"/>
      </w:pPr>
      <w:r>
        <w:br w:type="page"/>
      </w:r>
    </w:p>
    <w:p>
      <w:pPr>
        <w:pStyle w:val="77"/>
      </w:pPr>
      <w:r>
        <w:rPr>
          <w:rFonts w:hint="eastAsia"/>
        </w:rPr>
        <w:t>法定代表人授权委托书</w:t>
      </w:r>
    </w:p>
    <w:p>
      <w:pPr>
        <w:widowControl w:val="0"/>
        <w:adjustRightInd w:val="0"/>
        <w:snapToGrid w:val="0"/>
        <w:spacing w:before="120" w:after="120" w:line="360" w:lineRule="auto"/>
        <w:rPr>
          <w:rFonts w:ascii="Times" w:hAnsi="Times" w:eastAsia="宋体"/>
          <w:b/>
          <w:sz w:val="28"/>
          <w:szCs w:val="28"/>
        </w:rPr>
      </w:pPr>
      <w:r>
        <w:rPr>
          <w:rFonts w:hint="eastAsia" w:ascii="Times" w:hAnsi="Times" w:eastAsia="宋体"/>
          <w:sz w:val="28"/>
          <w:szCs w:val="28"/>
          <w:u w:val="single"/>
        </w:rPr>
        <w:t xml:space="preserve">致                        </w:t>
      </w:r>
      <w:r>
        <w:rPr>
          <w:rFonts w:hint="eastAsia" w:ascii="Times" w:hAnsi="Times" w:eastAsia="宋体"/>
          <w:sz w:val="28"/>
          <w:szCs w:val="28"/>
        </w:rPr>
        <w:t>：</w:t>
      </w:r>
    </w:p>
    <w:p>
      <w:pPr>
        <w:widowControl w:val="0"/>
        <w:adjustRightInd w:val="0"/>
        <w:snapToGrid w:val="0"/>
        <w:spacing w:before="0" w:after="0" w:line="360" w:lineRule="auto"/>
        <w:ind w:firstLine="560" w:firstLineChars="200"/>
        <w:rPr>
          <w:rFonts w:ascii="Times" w:hAnsi="Times" w:eastAsia="宋体"/>
          <w:sz w:val="28"/>
          <w:szCs w:val="28"/>
        </w:rPr>
      </w:pPr>
      <w:r>
        <w:rPr>
          <w:rFonts w:ascii="Times" w:hAnsi="Times" w:eastAsia="宋体"/>
          <w:sz w:val="28"/>
          <w:szCs w:val="28"/>
        </w:rPr>
        <w:t>兹委托</w:t>
      </w:r>
      <w:r>
        <w:rPr>
          <w:rFonts w:hint="eastAsia" w:ascii="Times" w:hAnsi="Times" w:eastAsia="宋体"/>
          <w:sz w:val="28"/>
          <w:szCs w:val="28"/>
        </w:rPr>
        <w:t xml:space="preserve"> </w:t>
      </w:r>
      <w:r>
        <w:rPr>
          <w:rFonts w:hint="eastAsia" w:ascii="Times" w:hAnsi="Times" w:eastAsia="宋体"/>
          <w:sz w:val="28"/>
          <w:szCs w:val="28"/>
          <w:u w:val="single"/>
        </w:rPr>
        <w:t xml:space="preserve">          </w:t>
      </w:r>
      <w:r>
        <w:rPr>
          <w:rFonts w:hint="eastAsia" w:ascii="Times" w:hAnsi="Times" w:eastAsia="宋体"/>
          <w:b/>
          <w:spacing w:val="20"/>
          <w:sz w:val="28"/>
          <w:szCs w:val="28"/>
          <w:u w:val="single"/>
        </w:rPr>
        <w:t xml:space="preserve"> </w:t>
      </w:r>
      <w:r>
        <w:rPr>
          <w:rFonts w:hint="eastAsia" w:ascii="Times" w:hAnsi="Times" w:eastAsia="宋体"/>
          <w:spacing w:val="20"/>
          <w:sz w:val="28"/>
          <w:szCs w:val="28"/>
        </w:rPr>
        <w:t>（居民身份证码：</w:t>
      </w:r>
      <w:r>
        <w:rPr>
          <w:rFonts w:hint="eastAsia" w:ascii="Times" w:hAnsi="Times" w:eastAsia="宋体"/>
          <w:spacing w:val="20"/>
          <w:sz w:val="28"/>
          <w:szCs w:val="28"/>
          <w:u w:val="single"/>
        </w:rPr>
        <w:t xml:space="preserve">              </w:t>
      </w:r>
      <w:r>
        <w:rPr>
          <w:rFonts w:hint="eastAsia" w:ascii="Times" w:hAnsi="Times" w:eastAsia="宋体"/>
          <w:spacing w:val="20"/>
          <w:sz w:val="28"/>
          <w:szCs w:val="28"/>
        </w:rPr>
        <w:t>）</w:t>
      </w:r>
      <w:r>
        <w:rPr>
          <w:rFonts w:ascii="Times" w:hAnsi="Times" w:eastAsia="宋体"/>
          <w:sz w:val="28"/>
          <w:szCs w:val="28"/>
        </w:rPr>
        <w:t>为我单位的委托代理人，代表我单位就</w:t>
      </w:r>
      <w:r>
        <w:rPr>
          <w:rFonts w:hint="eastAsia" w:ascii="Times" w:hAnsi="Times" w:eastAsia="宋体"/>
          <w:kern w:val="0"/>
          <w:sz w:val="28"/>
          <w:szCs w:val="28"/>
          <w:u w:val="single"/>
        </w:rPr>
        <w:t xml:space="preserve">                  </w:t>
      </w:r>
      <w:r>
        <w:rPr>
          <w:rFonts w:ascii="Times" w:hAnsi="Times" w:eastAsia="宋体"/>
          <w:sz w:val="28"/>
          <w:szCs w:val="28"/>
        </w:rPr>
        <w:t>（</w:t>
      </w:r>
      <w:r>
        <w:rPr>
          <w:rFonts w:hint="eastAsia" w:ascii="Times" w:hAnsi="Times" w:eastAsia="宋体"/>
          <w:sz w:val="28"/>
          <w:szCs w:val="28"/>
        </w:rPr>
        <w:t>招标文件</w:t>
      </w:r>
      <w:r>
        <w:rPr>
          <w:rFonts w:ascii="Times" w:hAnsi="Times" w:eastAsia="宋体"/>
          <w:sz w:val="28"/>
          <w:szCs w:val="28"/>
        </w:rPr>
        <w:t>编号：</w:t>
      </w:r>
      <w:r>
        <w:rPr>
          <w:rFonts w:hint="eastAsia" w:ascii="Times" w:hAnsi="Times" w:eastAsia="宋体"/>
          <w:sz w:val="28"/>
          <w:szCs w:val="28"/>
          <w:u w:val="single"/>
        </w:rPr>
        <w:t xml:space="preserve">            </w:t>
      </w:r>
      <w:r>
        <w:rPr>
          <w:rFonts w:ascii="Times" w:hAnsi="Times" w:eastAsia="宋体"/>
          <w:sz w:val="28"/>
          <w:szCs w:val="28"/>
        </w:rPr>
        <w:t>）签署</w:t>
      </w:r>
      <w:r>
        <w:rPr>
          <w:rFonts w:hint="eastAsia" w:ascii="Times" w:hAnsi="Times" w:eastAsia="宋体"/>
          <w:sz w:val="28"/>
          <w:szCs w:val="28"/>
        </w:rPr>
        <w:t>报价书、</w:t>
      </w:r>
      <w:r>
        <w:rPr>
          <w:rFonts w:ascii="Times" w:hAnsi="Times" w:eastAsia="宋体"/>
          <w:sz w:val="28"/>
          <w:szCs w:val="28"/>
        </w:rPr>
        <w:t>进行谈判</w:t>
      </w:r>
      <w:r>
        <w:rPr>
          <w:rFonts w:hint="eastAsia" w:ascii="Times" w:hAnsi="Times" w:eastAsia="宋体"/>
          <w:sz w:val="28"/>
          <w:szCs w:val="28"/>
        </w:rPr>
        <w:t>、</w:t>
      </w:r>
      <w:r>
        <w:rPr>
          <w:rFonts w:ascii="Times" w:hAnsi="Times" w:eastAsia="宋体"/>
          <w:sz w:val="28"/>
          <w:szCs w:val="28"/>
        </w:rPr>
        <w:t>签订合同</w:t>
      </w:r>
      <w:r>
        <w:rPr>
          <w:rFonts w:hint="eastAsia" w:ascii="Times" w:hAnsi="Times" w:eastAsia="宋体"/>
          <w:sz w:val="28"/>
          <w:szCs w:val="28"/>
        </w:rPr>
        <w:t>和</w:t>
      </w:r>
      <w:r>
        <w:rPr>
          <w:rFonts w:ascii="Times" w:hAnsi="Times" w:eastAsia="宋体"/>
          <w:sz w:val="28"/>
          <w:szCs w:val="28"/>
        </w:rPr>
        <w:t>处理与之有关的一切</w:t>
      </w:r>
      <w:r>
        <w:rPr>
          <w:rFonts w:hint="eastAsia" w:ascii="Times" w:hAnsi="Times" w:eastAsia="宋体"/>
          <w:sz w:val="28"/>
          <w:szCs w:val="28"/>
        </w:rPr>
        <w:t>事务</w:t>
      </w:r>
      <w:r>
        <w:rPr>
          <w:rFonts w:ascii="Times" w:hAnsi="Times" w:eastAsia="宋体"/>
          <w:sz w:val="28"/>
          <w:szCs w:val="28"/>
        </w:rPr>
        <w:t>，其</w:t>
      </w:r>
      <w:r>
        <w:rPr>
          <w:rFonts w:hint="eastAsia" w:ascii="Times" w:hAnsi="Times" w:eastAsia="宋体"/>
          <w:sz w:val="28"/>
          <w:szCs w:val="28"/>
        </w:rPr>
        <w:t>签署</w:t>
      </w:r>
      <w:r>
        <w:rPr>
          <w:rFonts w:ascii="Times" w:hAnsi="Times" w:eastAsia="宋体"/>
          <w:sz w:val="28"/>
          <w:szCs w:val="28"/>
        </w:rPr>
        <w:t>名真迹如本授权委托书末尾所示</w:t>
      </w:r>
      <w:r>
        <w:rPr>
          <w:rFonts w:hint="eastAsia" w:ascii="Times" w:hAnsi="Times" w:eastAsia="宋体"/>
          <w:sz w:val="28"/>
          <w:szCs w:val="28"/>
        </w:rPr>
        <w:t>。我单位均予以承认并承担其产生的所有权利和义务。</w:t>
      </w:r>
    </w:p>
    <w:p>
      <w:pPr>
        <w:widowControl w:val="0"/>
        <w:adjustRightInd w:val="0"/>
        <w:snapToGrid w:val="0"/>
        <w:spacing w:before="0" w:after="0" w:line="360" w:lineRule="auto"/>
        <w:ind w:firstLine="560" w:firstLineChars="200"/>
        <w:rPr>
          <w:rFonts w:ascii="Times" w:hAnsi="Times" w:eastAsia="宋体"/>
          <w:sz w:val="28"/>
          <w:szCs w:val="28"/>
        </w:rPr>
      </w:pPr>
      <w:r>
        <w:rPr>
          <w:rFonts w:ascii="Times" w:hAnsi="Times" w:eastAsia="宋体"/>
          <w:sz w:val="28"/>
          <w:szCs w:val="28"/>
        </w:rPr>
        <w:t>特此</w:t>
      </w:r>
      <w:r>
        <w:rPr>
          <w:rFonts w:hint="eastAsia" w:ascii="Times" w:hAnsi="Times" w:eastAsia="宋体"/>
          <w:sz w:val="28"/>
          <w:szCs w:val="28"/>
        </w:rPr>
        <w:t>委托！</w:t>
      </w:r>
    </w:p>
    <w:p>
      <w:pPr>
        <w:widowControl w:val="0"/>
        <w:spacing w:before="0" w:after="0" w:line="600" w:lineRule="exact"/>
        <w:ind w:firstLine="480"/>
        <w:rPr>
          <w:rFonts w:ascii="Times" w:hAnsi="Times" w:eastAsia="宋体"/>
          <w:sz w:val="28"/>
          <w:szCs w:val="28"/>
        </w:rPr>
      </w:pPr>
    </w:p>
    <w:p>
      <w:pPr>
        <w:widowControl w:val="0"/>
        <w:spacing w:before="0" w:after="0" w:line="600" w:lineRule="exact"/>
        <w:ind w:firstLine="480"/>
        <w:rPr>
          <w:rFonts w:ascii="Times" w:hAnsi="Times" w:eastAsia="宋体"/>
          <w:sz w:val="28"/>
          <w:szCs w:val="28"/>
        </w:rPr>
      </w:pPr>
    </w:p>
    <w:p>
      <w:pPr>
        <w:widowControl w:val="0"/>
        <w:spacing w:before="0" w:after="0" w:line="600" w:lineRule="exact"/>
        <w:ind w:firstLine="480"/>
        <w:rPr>
          <w:rFonts w:ascii="Times" w:hAnsi="Times" w:eastAsia="宋体"/>
          <w:sz w:val="28"/>
          <w:szCs w:val="28"/>
        </w:rPr>
      </w:pPr>
    </w:p>
    <w:p>
      <w:pPr>
        <w:widowControl w:val="0"/>
        <w:spacing w:before="0" w:after="0" w:line="600" w:lineRule="exact"/>
        <w:ind w:firstLine="2834" w:firstLineChars="1012"/>
        <w:rPr>
          <w:rFonts w:ascii="Times" w:hAnsi="Times" w:eastAsia="宋体"/>
          <w:sz w:val="28"/>
          <w:szCs w:val="28"/>
          <w:u w:val="single"/>
        </w:rPr>
      </w:pPr>
      <w:r>
        <w:rPr>
          <w:rFonts w:ascii="Times" w:hAnsi="Times" w:eastAsia="宋体"/>
          <w:sz w:val="28"/>
          <w:szCs w:val="28"/>
        </w:rPr>
        <w:t>授权委托单位</w:t>
      </w:r>
      <w:r>
        <w:rPr>
          <w:rFonts w:hint="eastAsia" w:ascii="Times" w:hAnsi="Times" w:eastAsia="宋体"/>
          <w:sz w:val="28"/>
          <w:szCs w:val="28"/>
        </w:rPr>
        <w:t>（投标人）</w:t>
      </w:r>
      <w:r>
        <w:rPr>
          <w:rFonts w:ascii="Times" w:hAnsi="Times" w:eastAsia="宋体"/>
          <w:sz w:val="28"/>
          <w:szCs w:val="28"/>
        </w:rPr>
        <w:t>：</w:t>
      </w:r>
      <w:r>
        <w:rPr>
          <w:rFonts w:hint="eastAsia" w:ascii="Times" w:hAnsi="Times" w:eastAsia="宋体"/>
          <w:sz w:val="28"/>
          <w:szCs w:val="28"/>
          <w:u w:val="single"/>
        </w:rPr>
        <w:t xml:space="preserve">           （盖章）</w:t>
      </w:r>
    </w:p>
    <w:p>
      <w:pPr>
        <w:widowControl w:val="0"/>
        <w:spacing w:before="0" w:after="0" w:line="600" w:lineRule="exact"/>
        <w:ind w:firstLine="2834" w:firstLineChars="1012"/>
        <w:jc w:val="right"/>
        <w:rPr>
          <w:rFonts w:ascii="Times" w:hAnsi="Times" w:eastAsia="宋体"/>
          <w:sz w:val="28"/>
          <w:szCs w:val="28"/>
        </w:rPr>
      </w:pPr>
    </w:p>
    <w:p>
      <w:pPr>
        <w:widowControl w:val="0"/>
        <w:spacing w:before="0" w:after="0" w:line="600" w:lineRule="exact"/>
        <w:ind w:right="480" w:firstLine="2834" w:firstLineChars="1012"/>
        <w:rPr>
          <w:rFonts w:ascii="Times" w:hAnsi="Times" w:eastAsia="宋体"/>
          <w:sz w:val="28"/>
          <w:szCs w:val="28"/>
          <w:u w:val="single"/>
        </w:rPr>
      </w:pPr>
      <w:r>
        <w:rPr>
          <w:rFonts w:ascii="Times" w:hAnsi="Times" w:eastAsia="宋体"/>
          <w:sz w:val="28"/>
          <w:szCs w:val="28"/>
        </w:rPr>
        <w:t>法定代表人：</w:t>
      </w:r>
      <w:r>
        <w:rPr>
          <w:rFonts w:hint="eastAsia" w:ascii="Times" w:hAnsi="Times" w:eastAsia="宋体"/>
          <w:sz w:val="28"/>
          <w:szCs w:val="28"/>
          <w:u w:val="single"/>
        </w:rPr>
        <w:t xml:space="preserve">                      </w:t>
      </w:r>
      <w:r>
        <w:rPr>
          <w:rFonts w:ascii="Times" w:hAnsi="Times" w:eastAsia="宋体"/>
          <w:sz w:val="28"/>
          <w:szCs w:val="28"/>
          <w:u w:val="single"/>
        </w:rPr>
        <w:t xml:space="preserve"> （签名）</w:t>
      </w:r>
    </w:p>
    <w:p>
      <w:pPr>
        <w:widowControl w:val="0"/>
        <w:spacing w:before="0" w:after="0" w:line="600" w:lineRule="exact"/>
        <w:ind w:right="480" w:firstLine="2834" w:firstLineChars="1012"/>
        <w:jc w:val="center"/>
        <w:rPr>
          <w:rFonts w:ascii="Times" w:hAnsi="Times" w:eastAsia="宋体"/>
          <w:sz w:val="28"/>
          <w:szCs w:val="28"/>
          <w:u w:val="single"/>
        </w:rPr>
      </w:pPr>
    </w:p>
    <w:p>
      <w:pPr>
        <w:widowControl w:val="0"/>
        <w:spacing w:before="0" w:after="0" w:line="600" w:lineRule="exact"/>
        <w:ind w:right="480" w:firstLine="2834" w:firstLineChars="1012"/>
        <w:rPr>
          <w:rFonts w:ascii="Times" w:hAnsi="Times" w:eastAsia="宋体"/>
          <w:sz w:val="28"/>
          <w:szCs w:val="28"/>
          <w:u w:val="single"/>
        </w:rPr>
      </w:pPr>
      <w:r>
        <w:rPr>
          <w:rFonts w:ascii="Times" w:hAnsi="Times" w:eastAsia="宋体"/>
          <w:sz w:val="28"/>
          <w:szCs w:val="28"/>
        </w:rPr>
        <w:t>委托代理人：</w:t>
      </w:r>
      <w:r>
        <w:rPr>
          <w:rFonts w:hint="eastAsia" w:ascii="Times" w:hAnsi="Times" w:eastAsia="宋体"/>
          <w:sz w:val="28"/>
          <w:szCs w:val="28"/>
          <w:u w:val="single"/>
        </w:rPr>
        <w:t xml:space="preserve">                    </w:t>
      </w:r>
      <w:r>
        <w:rPr>
          <w:rFonts w:ascii="Times" w:hAnsi="Times" w:eastAsia="宋体"/>
          <w:sz w:val="28"/>
          <w:szCs w:val="28"/>
          <w:u w:val="single"/>
        </w:rPr>
        <w:t xml:space="preserve"> </w:t>
      </w:r>
      <w:r>
        <w:rPr>
          <w:rFonts w:hint="eastAsia" w:ascii="Times" w:hAnsi="Times" w:eastAsia="宋体"/>
          <w:sz w:val="28"/>
          <w:szCs w:val="28"/>
          <w:u w:val="single"/>
        </w:rPr>
        <w:t xml:space="preserve">  </w:t>
      </w:r>
      <w:r>
        <w:rPr>
          <w:rFonts w:ascii="Times" w:hAnsi="Times" w:eastAsia="宋体"/>
          <w:sz w:val="28"/>
          <w:szCs w:val="28"/>
          <w:u w:val="single"/>
        </w:rPr>
        <w:t>（签名）</w:t>
      </w:r>
    </w:p>
    <w:p>
      <w:pPr>
        <w:widowControl w:val="0"/>
        <w:spacing w:before="0" w:after="0" w:line="600" w:lineRule="exact"/>
        <w:ind w:right="480" w:firstLine="2834" w:firstLineChars="1012"/>
        <w:rPr>
          <w:rFonts w:ascii="Times" w:hAnsi="Times" w:eastAsia="宋体"/>
          <w:sz w:val="28"/>
          <w:szCs w:val="28"/>
        </w:rPr>
      </w:pPr>
    </w:p>
    <w:p>
      <w:pPr>
        <w:widowControl w:val="0"/>
        <w:spacing w:before="0" w:after="0" w:line="600" w:lineRule="exact"/>
        <w:ind w:right="480" w:firstLine="2834" w:firstLineChars="1012"/>
        <w:rPr>
          <w:rFonts w:ascii="Times" w:hAnsi="Times" w:eastAsia="宋体"/>
          <w:sz w:val="28"/>
          <w:szCs w:val="28"/>
        </w:rPr>
      </w:pPr>
      <w:r>
        <w:rPr>
          <w:rFonts w:hint="eastAsia" w:ascii="Times" w:hAnsi="Times" w:eastAsia="宋体"/>
          <w:sz w:val="28"/>
          <w:szCs w:val="28"/>
        </w:rPr>
        <w:t>日      期：</w:t>
      </w:r>
      <w:r>
        <w:rPr>
          <w:rFonts w:hint="eastAsia" w:ascii="Times" w:hAnsi="Times" w:eastAsia="宋体"/>
          <w:sz w:val="28"/>
          <w:szCs w:val="28"/>
          <w:u w:val="single"/>
        </w:rPr>
        <w:t xml:space="preserve">       </w:t>
      </w:r>
      <w:r>
        <w:rPr>
          <w:rFonts w:hint="eastAsia" w:ascii="Times" w:hAnsi="Times" w:eastAsia="宋体"/>
          <w:sz w:val="28"/>
          <w:szCs w:val="28"/>
        </w:rPr>
        <w:t>年</w:t>
      </w:r>
      <w:r>
        <w:rPr>
          <w:rFonts w:hint="eastAsia" w:ascii="Times" w:hAnsi="Times" w:eastAsia="宋体"/>
          <w:sz w:val="28"/>
          <w:szCs w:val="28"/>
          <w:u w:val="single"/>
        </w:rPr>
        <w:t xml:space="preserve">       </w:t>
      </w:r>
      <w:r>
        <w:rPr>
          <w:rFonts w:hint="eastAsia" w:ascii="Times" w:hAnsi="Times" w:eastAsia="宋体"/>
          <w:sz w:val="28"/>
          <w:szCs w:val="28"/>
        </w:rPr>
        <w:t>月</w:t>
      </w:r>
      <w:r>
        <w:rPr>
          <w:rFonts w:hint="eastAsia" w:ascii="Times" w:hAnsi="Times" w:eastAsia="宋体"/>
          <w:sz w:val="28"/>
          <w:szCs w:val="28"/>
          <w:u w:val="single"/>
        </w:rPr>
        <w:t xml:space="preserve">       </w:t>
      </w:r>
      <w:r>
        <w:rPr>
          <w:rFonts w:hint="eastAsia" w:ascii="Times" w:hAnsi="Times" w:eastAsia="宋体"/>
          <w:sz w:val="28"/>
          <w:szCs w:val="28"/>
        </w:rPr>
        <w:t>日</w:t>
      </w:r>
    </w:p>
    <w:p>
      <w:pPr>
        <w:pStyle w:val="79"/>
      </w:pPr>
      <w:r>
        <w:br w:type="page"/>
      </w:r>
      <w:r>
        <w:t xml:space="preserve">2. </w:t>
      </w:r>
      <w:r>
        <w:rPr>
          <w:rFonts w:hint="eastAsia"/>
          <w:bCs w:val="0"/>
        </w:rPr>
        <w:t>报价函</w:t>
      </w:r>
      <w:bookmarkStart w:id="242" w:name="_Toc16928"/>
      <w:r>
        <w:rPr>
          <w:rFonts w:hint="eastAsia"/>
          <w:bCs w:val="0"/>
        </w:rPr>
        <w:t>及分项报价表</w:t>
      </w:r>
    </w:p>
    <w:p>
      <w:pPr>
        <w:pStyle w:val="77"/>
        <w:spacing w:beforeLines="0" w:afterLines="0" w:line="320" w:lineRule="exact"/>
      </w:pPr>
      <w:r>
        <w:rPr>
          <w:rFonts w:hint="eastAsia"/>
        </w:rPr>
        <w:t>报价</w:t>
      </w:r>
      <w:bookmarkEnd w:id="242"/>
      <w:r>
        <w:rPr>
          <w:rFonts w:hint="eastAsia"/>
        </w:rPr>
        <w:t>函</w:t>
      </w:r>
    </w:p>
    <w:p>
      <w:pPr>
        <w:widowControl w:val="0"/>
        <w:adjustRightInd w:val="0"/>
        <w:snapToGrid w:val="0"/>
        <w:spacing w:before="0" w:beforeLines="0" w:after="0" w:afterLines="0" w:line="320" w:lineRule="exact"/>
        <w:rPr>
          <w:rFonts w:ascii="黑体" w:hAnsi="宋体" w:eastAsia="黑体"/>
          <w:sz w:val="28"/>
          <w:szCs w:val="28"/>
          <w:u w:val="single"/>
        </w:rPr>
      </w:pPr>
      <w:r>
        <w:rPr>
          <w:rFonts w:hint="eastAsia" w:ascii="黑体" w:hAnsi="宋体" w:eastAsia="黑体"/>
          <w:spacing w:val="20"/>
          <w:sz w:val="28"/>
          <w:szCs w:val="28"/>
        </w:rPr>
        <w:t>项目名称：</w:t>
      </w:r>
      <w:r>
        <w:rPr>
          <w:rFonts w:hint="eastAsia" w:ascii="黑体" w:eastAsia="黑体"/>
          <w:sz w:val="28"/>
          <w:szCs w:val="28"/>
          <w:u w:val="single"/>
        </w:rPr>
        <w:t xml:space="preserve">                                  </w:t>
      </w:r>
    </w:p>
    <w:p>
      <w:pPr>
        <w:widowControl w:val="0"/>
        <w:adjustRightInd w:val="0"/>
        <w:snapToGrid w:val="0"/>
        <w:spacing w:before="0" w:beforeLines="0" w:after="0" w:afterLines="0" w:line="320" w:lineRule="exact"/>
        <w:rPr>
          <w:rFonts w:ascii="黑体" w:eastAsia="黑体"/>
          <w:sz w:val="28"/>
          <w:szCs w:val="28"/>
        </w:rPr>
      </w:pPr>
      <w:r>
        <w:rPr>
          <w:rFonts w:hint="eastAsia" w:ascii="黑体" w:hAnsi="宋体" w:eastAsia="黑体"/>
          <w:spacing w:val="20"/>
          <w:sz w:val="28"/>
          <w:szCs w:val="28"/>
        </w:rPr>
        <w:t>招标编号：</w:t>
      </w:r>
      <w:r>
        <w:rPr>
          <w:rFonts w:hint="eastAsia" w:ascii="黑体" w:eastAsia="黑体"/>
          <w:sz w:val="28"/>
          <w:szCs w:val="28"/>
          <w:u w:val="single"/>
        </w:rPr>
        <w:t xml:space="preserve">                  </w:t>
      </w:r>
    </w:p>
    <w:p>
      <w:pPr>
        <w:pStyle w:val="75"/>
        <w:spacing w:beforeLines="0" w:afterLines="0" w:line="320" w:lineRule="exact"/>
        <w:rPr>
          <w:rFonts w:hint="eastAsia"/>
        </w:rPr>
      </w:pPr>
    </w:p>
    <w:p>
      <w:pPr>
        <w:pStyle w:val="75"/>
        <w:spacing w:beforeLines="0" w:afterLines="0" w:line="320" w:lineRule="exact"/>
      </w:pPr>
      <w:r>
        <w:rPr>
          <w:rFonts w:hint="eastAsia"/>
        </w:rPr>
        <w:t>1、我方已仔细研究了</w:t>
      </w:r>
      <w:r>
        <w:rPr>
          <w:rFonts w:hint="eastAsia" w:ascii="黑体" w:eastAsia="黑体"/>
          <w:u w:val="single"/>
        </w:rPr>
        <w:t xml:space="preserve">                               </w:t>
      </w:r>
      <w:r>
        <w:rPr>
          <w:rFonts w:hint="eastAsia"/>
        </w:rPr>
        <w:t>（招标文件名称）的全部内容，愿意以人民币：</w:t>
      </w:r>
      <w:r>
        <w:rPr>
          <w:rFonts w:hint="eastAsia"/>
          <w:u w:val="single"/>
        </w:rPr>
        <w:t xml:space="preserve">           </w:t>
      </w:r>
      <w:r>
        <w:rPr>
          <w:rFonts w:hint="eastAsia"/>
        </w:rPr>
        <w:t>（大写）</w:t>
      </w:r>
      <w:r>
        <w:rPr>
          <w:rFonts w:hint="eastAsia" w:ascii="黑体" w:eastAsia="黑体"/>
          <w:b/>
          <w:u w:val="single"/>
        </w:rPr>
        <w:t xml:space="preserve">                </w:t>
      </w:r>
      <w:r>
        <w:rPr>
          <w:rFonts w:hint="eastAsia"/>
          <w:u w:val="single"/>
        </w:rPr>
        <w:t>元</w:t>
      </w:r>
      <w:r>
        <w:rPr>
          <w:rFonts w:hint="eastAsia"/>
        </w:rPr>
        <w:t>的总报价（分项报价见后面表）按招标文件规定的条件和要求实施合同规定的全部工作，并承担相关的责任。</w:t>
      </w:r>
    </w:p>
    <w:p>
      <w:pPr>
        <w:pStyle w:val="75"/>
        <w:spacing w:beforeLines="0" w:afterLines="0" w:line="320" w:lineRule="exact"/>
      </w:pPr>
      <w:r>
        <w:rPr>
          <w:rFonts w:hint="eastAsia"/>
        </w:rPr>
        <w:t>2、我方提交的报价书在报价截止时间后的</w:t>
      </w:r>
      <w:r>
        <w:rPr>
          <w:rFonts w:hint="eastAsia"/>
          <w:u w:val="single"/>
        </w:rPr>
        <w:t xml:space="preserve">    </w:t>
      </w:r>
      <w:r>
        <w:rPr>
          <w:rFonts w:hint="eastAsia"/>
        </w:rPr>
        <w:t>天内有效，在此期间被你方接受的上述文件对我方一直具有约束力。我方保证在报价文件有效期内不撤回报价文件，除招标文件另有规定外，不修改报价文件。</w:t>
      </w:r>
    </w:p>
    <w:p>
      <w:pPr>
        <w:pStyle w:val="75"/>
        <w:spacing w:beforeLines="0" w:afterLines="0" w:line="320" w:lineRule="exact"/>
        <w:ind w:firstLine="640"/>
        <w:rPr>
          <w:spacing w:val="20"/>
        </w:rPr>
      </w:pPr>
      <w:r>
        <w:rPr>
          <w:rFonts w:hint="eastAsia"/>
          <w:spacing w:val="20"/>
        </w:rPr>
        <w:t>3、</w:t>
      </w:r>
      <w:r>
        <w:rPr>
          <w:rFonts w:hint="eastAsia"/>
        </w:rPr>
        <w:t>我方对工期的承诺为：</w:t>
      </w:r>
    </w:p>
    <w:p>
      <w:pPr>
        <w:pStyle w:val="75"/>
        <w:spacing w:beforeLines="0" w:afterLines="0" w:line="320" w:lineRule="exact"/>
        <w:rPr>
          <w:snapToGrid w:val="0"/>
          <w:kern w:val="0"/>
        </w:rPr>
      </w:pPr>
      <w:r>
        <w:rPr>
          <w:rFonts w:hint="eastAsia"/>
          <w:snapToGrid w:val="0"/>
          <w:kern w:val="0"/>
        </w:rPr>
        <w:t>3.1接到招标人正式通知后</w:t>
      </w:r>
      <w:r>
        <w:rPr>
          <w:rFonts w:hint="eastAsia"/>
          <w:snapToGrid w:val="0"/>
          <w:kern w:val="0"/>
          <w:u w:val="single"/>
        </w:rPr>
        <w:t xml:space="preserve">   </w:t>
      </w:r>
      <w:r>
        <w:rPr>
          <w:rFonts w:hint="eastAsia"/>
          <w:snapToGrid w:val="0"/>
          <w:kern w:val="0"/>
        </w:rPr>
        <w:t>天内向招标人提交符合审查要求的</w:t>
      </w:r>
      <w:r>
        <w:rPr>
          <w:rFonts w:hint="eastAsia"/>
          <w:snapToGrid w:val="0"/>
          <w:kern w:val="0"/>
          <w:highlight w:val="none"/>
        </w:rPr>
        <w:t>《金沙水电站蓄水对周边煤矿影响区域矿井突水灾害隐患治理工程质量检测报告》</w:t>
      </w:r>
      <w:r>
        <w:rPr>
          <w:rFonts w:hint="eastAsia"/>
          <w:snapToGrid w:val="0"/>
          <w:kern w:val="0"/>
        </w:rPr>
        <w:t>。</w:t>
      </w:r>
    </w:p>
    <w:p>
      <w:pPr>
        <w:pStyle w:val="75"/>
        <w:spacing w:beforeLines="0" w:afterLines="0" w:line="320" w:lineRule="exact"/>
        <w:rPr>
          <w:snapToGrid w:val="0"/>
          <w:kern w:val="0"/>
        </w:rPr>
      </w:pPr>
      <w:r>
        <w:rPr>
          <w:rFonts w:hint="eastAsia"/>
          <w:snapToGrid w:val="0"/>
          <w:kern w:val="0"/>
        </w:rPr>
        <w:t>3.2根据有关行业行政主管部门对</w:t>
      </w:r>
      <w:r>
        <w:rPr>
          <w:rFonts w:hint="eastAsia"/>
          <w:snapToGrid w:val="0"/>
          <w:kern w:val="0"/>
          <w:highlight w:val="none"/>
        </w:rPr>
        <w:t>《金沙水电站蓄水对周边煤矿影响区域矿井突水灾害隐患治理工程质量检测报告》</w:t>
      </w:r>
      <w:r>
        <w:rPr>
          <w:rFonts w:hint="eastAsia"/>
          <w:snapToGrid w:val="0"/>
          <w:kern w:val="0"/>
        </w:rPr>
        <w:t>的技术评审意见进行修改，且在技术评审会后</w:t>
      </w:r>
      <w:r>
        <w:rPr>
          <w:rFonts w:hint="eastAsia"/>
          <w:snapToGrid w:val="0"/>
          <w:kern w:val="0"/>
          <w:u w:val="single"/>
        </w:rPr>
        <w:t xml:space="preserve">  </w:t>
      </w:r>
      <w:r>
        <w:rPr>
          <w:snapToGrid w:val="0"/>
          <w:kern w:val="0"/>
          <w:u w:val="single"/>
        </w:rPr>
        <w:t xml:space="preserve"> </w:t>
      </w:r>
      <w:r>
        <w:rPr>
          <w:rFonts w:hint="eastAsia"/>
          <w:snapToGrid w:val="0"/>
          <w:kern w:val="0"/>
        </w:rPr>
        <w:t>天内，完成对</w:t>
      </w:r>
      <w:r>
        <w:rPr>
          <w:rFonts w:hint="eastAsia"/>
          <w:snapToGrid w:val="0"/>
          <w:kern w:val="0"/>
          <w:highlight w:val="none"/>
        </w:rPr>
        <w:t>《金沙水电站蓄水对周边煤矿影响区域矿井突水灾害隐患治理工程质量检测报告》</w:t>
      </w:r>
      <w:r>
        <w:rPr>
          <w:rFonts w:hint="eastAsia"/>
          <w:snapToGrid w:val="0"/>
          <w:kern w:val="0"/>
        </w:rPr>
        <w:t>审定本的修改，并向招标人提交审定后的</w:t>
      </w:r>
      <w:r>
        <w:rPr>
          <w:rFonts w:hint="eastAsia"/>
          <w:snapToGrid w:val="0"/>
          <w:kern w:val="0"/>
          <w:highlight w:val="none"/>
        </w:rPr>
        <w:t>《金沙水电站蓄水对周边煤矿影响区域矿井突水灾害隐患治理工程质量检测报告》</w:t>
      </w:r>
      <w:r>
        <w:rPr>
          <w:rFonts w:hint="eastAsia"/>
          <w:snapToGrid w:val="0"/>
          <w:kern w:val="0"/>
        </w:rPr>
        <w:t>。</w:t>
      </w:r>
    </w:p>
    <w:p>
      <w:pPr>
        <w:pStyle w:val="75"/>
        <w:spacing w:beforeLines="0" w:afterLines="0" w:line="320" w:lineRule="exact"/>
      </w:pPr>
      <w:r>
        <w:rPr>
          <w:rFonts w:hint="eastAsia"/>
        </w:rPr>
        <w:t>4、若我单位中选：</w:t>
      </w:r>
    </w:p>
    <w:p>
      <w:pPr>
        <w:pStyle w:val="75"/>
        <w:spacing w:beforeLines="0" w:afterLines="0" w:line="320" w:lineRule="exact"/>
      </w:pPr>
      <w:r>
        <w:rPr>
          <w:rFonts w:hint="eastAsia"/>
        </w:rPr>
        <w:t>（1）我方保证在收到招标人的通知后，按要求的期限，及时派代表前往约定的地点签订合同。</w:t>
      </w:r>
    </w:p>
    <w:p>
      <w:pPr>
        <w:pStyle w:val="75"/>
        <w:spacing w:beforeLines="0" w:afterLines="0" w:line="320" w:lineRule="exact"/>
      </w:pPr>
      <w:r>
        <w:rPr>
          <w:rFonts w:hint="eastAsia"/>
        </w:rPr>
        <w:t>（2）随同本报价书提交的辅助资料中的任何部分，经招标人确认后可作为合同文件的组成部分。</w:t>
      </w:r>
    </w:p>
    <w:p>
      <w:pPr>
        <w:pStyle w:val="75"/>
        <w:spacing w:beforeLines="0" w:afterLines="0" w:line="320" w:lineRule="exact"/>
      </w:pPr>
      <w:r>
        <w:rPr>
          <w:rFonts w:hint="eastAsia"/>
        </w:rPr>
        <w:t>（3）我方保证接到招标人通知后尽快组织人员开展工作，并保证在合同规定的期限内完成合同规定的全部工作。</w:t>
      </w:r>
    </w:p>
    <w:p>
      <w:pPr>
        <w:pStyle w:val="75"/>
        <w:spacing w:beforeLines="0" w:afterLines="0" w:line="320" w:lineRule="exact"/>
      </w:pPr>
      <w:r>
        <w:rPr>
          <w:rFonts w:hint="eastAsia"/>
        </w:rPr>
        <w:t>5、我方完全理解你方不保证报价最低的招标响应人能被选中。</w:t>
      </w:r>
    </w:p>
    <w:p>
      <w:pPr>
        <w:pStyle w:val="75"/>
        <w:spacing w:beforeLines="0" w:afterLines="0" w:line="320" w:lineRule="exact"/>
        <w:ind w:left="2520" w:leftChars="1200"/>
        <w:rPr>
          <w:rFonts w:hint="eastAsia"/>
        </w:rPr>
      </w:pPr>
    </w:p>
    <w:p>
      <w:pPr>
        <w:pStyle w:val="75"/>
        <w:spacing w:beforeLines="0" w:afterLines="0" w:line="320" w:lineRule="exact"/>
        <w:ind w:left="2520" w:leftChars="1200"/>
        <w:rPr>
          <w:rFonts w:hint="eastAsia"/>
        </w:rPr>
      </w:pPr>
    </w:p>
    <w:p>
      <w:pPr>
        <w:pStyle w:val="75"/>
        <w:spacing w:beforeLines="0" w:afterLines="0" w:line="320" w:lineRule="exact"/>
        <w:ind w:left="2520" w:leftChars="1200"/>
        <w:rPr>
          <w:u w:val="single"/>
        </w:rPr>
      </w:pPr>
      <w:r>
        <w:rPr>
          <w:rFonts w:hint="eastAsia"/>
        </w:rPr>
        <w:t>投标人：</w:t>
      </w:r>
      <w:r>
        <w:rPr>
          <w:rFonts w:hint="eastAsia"/>
          <w:u w:val="single"/>
        </w:rPr>
        <w:t xml:space="preserve">                             （盖章）</w:t>
      </w:r>
    </w:p>
    <w:p>
      <w:pPr>
        <w:pStyle w:val="75"/>
        <w:spacing w:beforeLines="0" w:afterLines="0" w:line="320" w:lineRule="exact"/>
        <w:ind w:left="2520" w:leftChars="1200"/>
        <w:rPr>
          <w:u w:val="single"/>
        </w:rPr>
      </w:pPr>
      <w:r>
        <w:rPr>
          <w:rFonts w:hint="eastAsia"/>
        </w:rPr>
        <w:t>法定代表人（或委托代理人）：</w:t>
      </w:r>
      <w:r>
        <w:rPr>
          <w:rFonts w:hint="eastAsia"/>
          <w:u w:val="single"/>
        </w:rPr>
        <w:t xml:space="preserve">                 </w:t>
      </w:r>
    </w:p>
    <w:p>
      <w:pPr>
        <w:pStyle w:val="75"/>
        <w:spacing w:beforeLines="0" w:afterLines="0" w:line="320" w:lineRule="exact"/>
        <w:ind w:left="2520" w:leftChars="1200"/>
        <w:rPr>
          <w:u w:val="single"/>
        </w:rPr>
      </w:pPr>
      <w:r>
        <w:rPr>
          <w:rFonts w:hint="eastAsia"/>
        </w:rPr>
        <w:t>地    址：</w:t>
      </w:r>
      <w:r>
        <w:rPr>
          <w:rFonts w:hint="eastAsia"/>
          <w:u w:val="single"/>
        </w:rPr>
        <w:t xml:space="preserve">                                  </w:t>
      </w:r>
      <w:r>
        <w:rPr>
          <w:u w:val="single"/>
        </w:rPr>
        <w:t xml:space="preserve"> </w:t>
      </w:r>
    </w:p>
    <w:p>
      <w:pPr>
        <w:pStyle w:val="75"/>
        <w:spacing w:beforeLines="0" w:afterLines="0" w:line="320" w:lineRule="exact"/>
        <w:ind w:left="2520" w:leftChars="1200"/>
      </w:pPr>
      <w:r>
        <w:rPr>
          <w:rFonts w:hint="eastAsia"/>
        </w:rPr>
        <w:t>电    话：</w:t>
      </w:r>
      <w:r>
        <w:rPr>
          <w:rFonts w:hint="eastAsia"/>
          <w:u w:val="single"/>
        </w:rPr>
        <w:t xml:space="preserve">                                  </w:t>
      </w:r>
      <w:r>
        <w:rPr>
          <w:u w:val="single"/>
        </w:rPr>
        <w:t xml:space="preserve"> </w:t>
      </w:r>
    </w:p>
    <w:p>
      <w:pPr>
        <w:pStyle w:val="75"/>
        <w:spacing w:beforeLines="0" w:afterLines="0" w:line="320" w:lineRule="exact"/>
        <w:ind w:left="2520" w:leftChars="1200"/>
        <w:rPr>
          <w:u w:val="single"/>
        </w:rPr>
      </w:pPr>
      <w:r>
        <w:rPr>
          <w:rFonts w:hint="eastAsia"/>
        </w:rPr>
        <w:t>传    真：</w:t>
      </w:r>
      <w:r>
        <w:rPr>
          <w:rFonts w:hint="eastAsia"/>
          <w:u w:val="single"/>
        </w:rPr>
        <w:t xml:space="preserve">                                 </w:t>
      </w:r>
      <w:r>
        <w:rPr>
          <w:u w:val="single"/>
        </w:rPr>
        <w:t xml:space="preserve"> </w:t>
      </w:r>
      <w:r>
        <w:rPr>
          <w:rFonts w:hint="eastAsia"/>
          <w:u w:val="single"/>
        </w:rPr>
        <w:t xml:space="preserve"> </w:t>
      </w:r>
    </w:p>
    <w:p>
      <w:pPr>
        <w:pStyle w:val="75"/>
        <w:spacing w:beforeLines="0" w:afterLines="0" w:line="320" w:lineRule="exact"/>
        <w:ind w:left="2520" w:leftChars="1200"/>
        <w:rPr>
          <w:u w:val="single"/>
        </w:rPr>
      </w:pPr>
      <w:r>
        <w:rPr>
          <w:rFonts w:hint="eastAsia"/>
        </w:rPr>
        <w:t>邮政编码：</w:t>
      </w:r>
      <w:r>
        <w:rPr>
          <w:rFonts w:hint="eastAsia"/>
          <w:u w:val="single"/>
        </w:rPr>
        <w:t xml:space="preserve">                                 </w:t>
      </w:r>
      <w:r>
        <w:rPr>
          <w:u w:val="single"/>
        </w:rPr>
        <w:t xml:space="preserve"> </w:t>
      </w:r>
      <w:r>
        <w:rPr>
          <w:rFonts w:hint="eastAsia"/>
          <w:u w:val="single"/>
        </w:rPr>
        <w:t xml:space="preserve"> </w:t>
      </w:r>
    </w:p>
    <w:p>
      <w:pPr>
        <w:pStyle w:val="75"/>
        <w:spacing w:beforeLines="0" w:afterLines="0" w:line="320" w:lineRule="exact"/>
        <w:ind w:left="2520" w:leftChars="1200"/>
        <w:rPr>
          <w:u w:val="single"/>
        </w:rPr>
      </w:pPr>
      <w:r>
        <w:rPr>
          <w:rFonts w:hint="eastAsia"/>
        </w:rPr>
        <w:t>日    期：</w:t>
      </w:r>
      <w:r>
        <w:rPr>
          <w:rFonts w:hint="eastAsia"/>
          <w:u w:val="single"/>
        </w:rPr>
        <w:t xml:space="preserve">                                </w:t>
      </w:r>
      <w:r>
        <w:rPr>
          <w:u w:val="single"/>
        </w:rPr>
        <w:t xml:space="preserve"> </w:t>
      </w:r>
      <w:r>
        <w:rPr>
          <w:rFonts w:hint="eastAsia"/>
          <w:u w:val="single"/>
        </w:rPr>
        <w:t xml:space="preserve"> </w:t>
      </w:r>
      <w:r>
        <w:rPr>
          <w:u w:val="single"/>
        </w:rPr>
        <w:t xml:space="preserve"> </w:t>
      </w:r>
    </w:p>
    <w:p>
      <w:pPr>
        <w:pStyle w:val="77"/>
        <w:rPr>
          <w:rFonts w:hint="eastAsia"/>
        </w:rPr>
      </w:pPr>
    </w:p>
    <w:p>
      <w:pPr>
        <w:pStyle w:val="77"/>
        <w:rPr>
          <w:rFonts w:hint="eastAsia"/>
        </w:rPr>
      </w:pPr>
    </w:p>
    <w:p>
      <w:pPr>
        <w:pStyle w:val="77"/>
        <w:rPr>
          <w:rFonts w:hint="eastAsia"/>
        </w:rPr>
      </w:pPr>
    </w:p>
    <w:p>
      <w:pPr>
        <w:pStyle w:val="77"/>
        <w:rPr>
          <w:rFonts w:hint="eastAsia"/>
        </w:rPr>
      </w:pPr>
    </w:p>
    <w:p>
      <w:pPr>
        <w:pStyle w:val="77"/>
      </w:pPr>
      <w:r>
        <w:rPr>
          <w:rFonts w:hint="eastAsia"/>
          <w:lang w:val="en-US" w:eastAsia="zh-CN"/>
        </w:rPr>
        <w:t>工程量清单</w:t>
      </w:r>
    </w:p>
    <w:tbl>
      <w:tblPr>
        <w:tblStyle w:val="34"/>
        <w:tblW w:w="93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381"/>
        <w:gridCol w:w="1026"/>
        <w:gridCol w:w="1423"/>
        <w:gridCol w:w="169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9356" w:type="dxa"/>
            <w:gridSpan w:val="6"/>
            <w:vAlign w:val="center"/>
          </w:tcPr>
          <w:p>
            <w:pPr>
              <w:pStyle w:val="83"/>
              <w:jc w:val="center"/>
              <w:rPr>
                <w:b/>
              </w:rPr>
            </w:pPr>
            <w:r>
              <w:rPr>
                <w:rFonts w:hint="eastAsia"/>
                <w:b/>
              </w:rPr>
              <w:t>金沙水电站蓄水对周边煤矿影响区域矿井突水灾害隐患治理工程质量检测服务报价表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4" w:type="dxa"/>
            <w:vAlign w:val="center"/>
          </w:tcPr>
          <w:p>
            <w:pPr>
              <w:pStyle w:val="83"/>
              <w:jc w:val="center"/>
            </w:pPr>
            <w:r>
              <w:rPr>
                <w:rFonts w:hint="eastAsia"/>
              </w:rPr>
              <w:t>序号</w:t>
            </w:r>
          </w:p>
        </w:tc>
        <w:tc>
          <w:tcPr>
            <w:tcW w:w="2381" w:type="dxa"/>
            <w:vAlign w:val="center"/>
          </w:tcPr>
          <w:p>
            <w:pPr>
              <w:pStyle w:val="83"/>
              <w:jc w:val="center"/>
            </w:pPr>
            <w:r>
              <w:rPr>
                <w:rFonts w:hint="eastAsia"/>
              </w:rPr>
              <w:t>名称</w:t>
            </w:r>
          </w:p>
        </w:tc>
        <w:tc>
          <w:tcPr>
            <w:tcW w:w="1026" w:type="dxa"/>
            <w:vAlign w:val="center"/>
          </w:tcPr>
          <w:p>
            <w:pPr>
              <w:pStyle w:val="83"/>
              <w:jc w:val="center"/>
            </w:pPr>
            <w:r>
              <w:rPr>
                <w:rFonts w:hint="eastAsia"/>
              </w:rPr>
              <w:t>单位</w:t>
            </w:r>
          </w:p>
        </w:tc>
        <w:tc>
          <w:tcPr>
            <w:tcW w:w="1423" w:type="dxa"/>
            <w:vAlign w:val="center"/>
          </w:tcPr>
          <w:p>
            <w:pPr>
              <w:pStyle w:val="83"/>
              <w:jc w:val="center"/>
            </w:pPr>
            <w:r>
              <w:rPr>
                <w:rFonts w:hint="eastAsia"/>
              </w:rPr>
              <w:t>数量</w:t>
            </w:r>
          </w:p>
        </w:tc>
        <w:tc>
          <w:tcPr>
            <w:tcW w:w="1696" w:type="dxa"/>
            <w:vAlign w:val="center"/>
          </w:tcPr>
          <w:p>
            <w:pPr>
              <w:pStyle w:val="83"/>
              <w:jc w:val="center"/>
            </w:pPr>
            <w:r>
              <w:rPr>
                <w:rFonts w:hint="eastAsia"/>
              </w:rPr>
              <w:t>单价（元）</w:t>
            </w:r>
          </w:p>
        </w:tc>
        <w:tc>
          <w:tcPr>
            <w:tcW w:w="2126" w:type="dxa"/>
            <w:vAlign w:val="center"/>
          </w:tcPr>
          <w:p>
            <w:pPr>
              <w:pStyle w:val="83"/>
              <w:jc w:val="center"/>
              <w:rPr>
                <w:bCs/>
              </w:rPr>
            </w:pPr>
            <w:r>
              <w:rPr>
                <w:rFonts w:hint="eastAsia"/>
                <w:bCs/>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4" w:type="dxa"/>
            <w:vAlign w:val="center"/>
          </w:tcPr>
          <w:p>
            <w:pPr>
              <w:pStyle w:val="83"/>
              <w:jc w:val="center"/>
            </w:pPr>
            <w:r>
              <w:rPr>
                <w:rFonts w:hint="eastAsia"/>
              </w:rPr>
              <w:t>1</w:t>
            </w:r>
          </w:p>
        </w:tc>
        <w:tc>
          <w:tcPr>
            <w:tcW w:w="2381" w:type="dxa"/>
            <w:vAlign w:val="center"/>
          </w:tcPr>
          <w:p>
            <w:pPr>
              <w:pStyle w:val="83"/>
              <w:jc w:val="center"/>
            </w:pPr>
            <w:r>
              <w:rPr>
                <w:rFonts w:hint="eastAsia"/>
              </w:rPr>
              <w:t>钻孔取芯</w:t>
            </w:r>
          </w:p>
        </w:tc>
        <w:tc>
          <w:tcPr>
            <w:tcW w:w="1026" w:type="dxa"/>
            <w:vAlign w:val="center"/>
          </w:tcPr>
          <w:p>
            <w:pPr>
              <w:pStyle w:val="83"/>
              <w:jc w:val="center"/>
            </w:pPr>
            <w:r>
              <w:rPr>
                <w:rFonts w:hint="eastAsia"/>
              </w:rPr>
              <w:t>米</w:t>
            </w:r>
          </w:p>
        </w:tc>
        <w:tc>
          <w:tcPr>
            <w:tcW w:w="1423" w:type="dxa"/>
            <w:vAlign w:val="center"/>
          </w:tcPr>
          <w:p>
            <w:pPr>
              <w:pStyle w:val="83"/>
              <w:jc w:val="center"/>
            </w:pPr>
            <w:r>
              <w:rPr>
                <w:rFonts w:hint="eastAsia"/>
              </w:rPr>
              <w:t>9</w:t>
            </w:r>
            <w:r>
              <w:t>90</w:t>
            </w:r>
          </w:p>
        </w:tc>
        <w:tc>
          <w:tcPr>
            <w:tcW w:w="1696" w:type="dxa"/>
            <w:vAlign w:val="center"/>
          </w:tcPr>
          <w:p>
            <w:pPr>
              <w:pStyle w:val="83"/>
              <w:jc w:val="center"/>
            </w:pPr>
          </w:p>
        </w:tc>
        <w:tc>
          <w:tcPr>
            <w:tcW w:w="2126" w:type="dxa"/>
            <w:vAlign w:val="center"/>
          </w:tcPr>
          <w:p>
            <w:pPr>
              <w:pStyle w:val="83"/>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4" w:type="dxa"/>
            <w:vAlign w:val="center"/>
          </w:tcPr>
          <w:p>
            <w:pPr>
              <w:pStyle w:val="83"/>
              <w:jc w:val="center"/>
            </w:pPr>
            <w:r>
              <w:t>2</w:t>
            </w:r>
          </w:p>
        </w:tc>
        <w:tc>
          <w:tcPr>
            <w:tcW w:w="2381" w:type="dxa"/>
            <w:vAlign w:val="center"/>
          </w:tcPr>
          <w:p>
            <w:pPr>
              <w:pStyle w:val="83"/>
              <w:jc w:val="center"/>
            </w:pPr>
            <w:r>
              <w:rPr>
                <w:rFonts w:hint="eastAsia"/>
              </w:rPr>
              <w:t>跨孔地震C</w:t>
            </w:r>
            <w:r>
              <w:t>T</w:t>
            </w:r>
          </w:p>
        </w:tc>
        <w:tc>
          <w:tcPr>
            <w:tcW w:w="1026" w:type="dxa"/>
            <w:vAlign w:val="center"/>
          </w:tcPr>
          <w:p>
            <w:pPr>
              <w:pStyle w:val="83"/>
              <w:jc w:val="center"/>
            </w:pPr>
            <w:r>
              <w:rPr>
                <w:rFonts w:hint="eastAsia"/>
              </w:rPr>
              <w:t>米</w:t>
            </w:r>
          </w:p>
        </w:tc>
        <w:tc>
          <w:tcPr>
            <w:tcW w:w="1423" w:type="dxa"/>
            <w:vAlign w:val="center"/>
          </w:tcPr>
          <w:p>
            <w:pPr>
              <w:pStyle w:val="83"/>
              <w:jc w:val="center"/>
            </w:pPr>
            <w:r>
              <w:t>750</w:t>
            </w:r>
          </w:p>
        </w:tc>
        <w:tc>
          <w:tcPr>
            <w:tcW w:w="1696" w:type="dxa"/>
            <w:vAlign w:val="center"/>
          </w:tcPr>
          <w:p>
            <w:pPr>
              <w:pStyle w:val="83"/>
              <w:jc w:val="center"/>
            </w:pPr>
          </w:p>
        </w:tc>
        <w:tc>
          <w:tcPr>
            <w:tcW w:w="2126" w:type="dxa"/>
            <w:vAlign w:val="center"/>
          </w:tcPr>
          <w:p>
            <w:pPr>
              <w:pStyle w:val="83"/>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4" w:type="dxa"/>
            <w:vAlign w:val="center"/>
          </w:tcPr>
          <w:p>
            <w:pPr>
              <w:pStyle w:val="83"/>
              <w:jc w:val="center"/>
            </w:pPr>
            <w:r>
              <w:t>3</w:t>
            </w:r>
          </w:p>
        </w:tc>
        <w:tc>
          <w:tcPr>
            <w:tcW w:w="2381" w:type="dxa"/>
            <w:vAlign w:val="center"/>
          </w:tcPr>
          <w:p>
            <w:pPr>
              <w:pStyle w:val="83"/>
              <w:jc w:val="center"/>
            </w:pPr>
            <w:r>
              <w:rPr>
                <w:rFonts w:hint="eastAsia"/>
              </w:rPr>
              <w:t>声波测试及井下电视</w:t>
            </w:r>
          </w:p>
        </w:tc>
        <w:tc>
          <w:tcPr>
            <w:tcW w:w="1026" w:type="dxa"/>
            <w:vAlign w:val="center"/>
          </w:tcPr>
          <w:p>
            <w:pPr>
              <w:pStyle w:val="83"/>
              <w:jc w:val="center"/>
            </w:pPr>
            <w:r>
              <w:rPr>
                <w:rFonts w:hint="eastAsia"/>
              </w:rPr>
              <w:t>米</w:t>
            </w:r>
          </w:p>
        </w:tc>
        <w:tc>
          <w:tcPr>
            <w:tcW w:w="1423" w:type="dxa"/>
            <w:vAlign w:val="center"/>
          </w:tcPr>
          <w:p>
            <w:pPr>
              <w:pStyle w:val="83"/>
              <w:jc w:val="center"/>
            </w:pPr>
            <w:r>
              <w:rPr>
                <w:rFonts w:hint="eastAsia"/>
              </w:rPr>
              <w:t>3</w:t>
            </w:r>
            <w:r>
              <w:t>55</w:t>
            </w:r>
          </w:p>
        </w:tc>
        <w:tc>
          <w:tcPr>
            <w:tcW w:w="1696" w:type="dxa"/>
            <w:vAlign w:val="center"/>
          </w:tcPr>
          <w:p>
            <w:pPr>
              <w:pStyle w:val="83"/>
              <w:jc w:val="center"/>
            </w:pPr>
          </w:p>
        </w:tc>
        <w:tc>
          <w:tcPr>
            <w:tcW w:w="2126" w:type="dxa"/>
            <w:vAlign w:val="center"/>
          </w:tcPr>
          <w:p>
            <w:pPr>
              <w:pStyle w:val="83"/>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4" w:type="dxa"/>
            <w:vAlign w:val="center"/>
          </w:tcPr>
          <w:p>
            <w:pPr>
              <w:pStyle w:val="83"/>
              <w:jc w:val="center"/>
            </w:pPr>
            <w:r>
              <w:rPr>
                <w:rFonts w:hint="eastAsia"/>
              </w:rPr>
              <w:t>4</w:t>
            </w:r>
          </w:p>
        </w:tc>
        <w:tc>
          <w:tcPr>
            <w:tcW w:w="2381" w:type="dxa"/>
            <w:vAlign w:val="center"/>
          </w:tcPr>
          <w:p>
            <w:pPr>
              <w:pStyle w:val="83"/>
              <w:jc w:val="center"/>
            </w:pPr>
            <w:r>
              <w:rPr>
                <w:rFonts w:hint="eastAsia"/>
              </w:rPr>
              <w:t>抽水、压水实验</w:t>
            </w:r>
          </w:p>
        </w:tc>
        <w:tc>
          <w:tcPr>
            <w:tcW w:w="1026" w:type="dxa"/>
            <w:vAlign w:val="center"/>
          </w:tcPr>
          <w:p>
            <w:pPr>
              <w:pStyle w:val="83"/>
              <w:jc w:val="center"/>
            </w:pPr>
            <w:r>
              <w:rPr>
                <w:rFonts w:hint="eastAsia"/>
              </w:rPr>
              <w:t>个</w:t>
            </w:r>
          </w:p>
        </w:tc>
        <w:tc>
          <w:tcPr>
            <w:tcW w:w="1423" w:type="dxa"/>
            <w:vAlign w:val="center"/>
          </w:tcPr>
          <w:p>
            <w:pPr>
              <w:pStyle w:val="83"/>
              <w:jc w:val="center"/>
            </w:pPr>
            <w:r>
              <w:rPr>
                <w:rFonts w:hint="eastAsia"/>
              </w:rPr>
              <w:t>2</w:t>
            </w:r>
          </w:p>
        </w:tc>
        <w:tc>
          <w:tcPr>
            <w:tcW w:w="1696" w:type="dxa"/>
            <w:vAlign w:val="center"/>
          </w:tcPr>
          <w:p>
            <w:pPr>
              <w:pStyle w:val="83"/>
              <w:jc w:val="center"/>
            </w:pPr>
          </w:p>
        </w:tc>
        <w:tc>
          <w:tcPr>
            <w:tcW w:w="2126" w:type="dxa"/>
            <w:vAlign w:val="center"/>
          </w:tcPr>
          <w:p>
            <w:pPr>
              <w:pStyle w:val="83"/>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30" w:type="dxa"/>
            <w:gridSpan w:val="5"/>
            <w:vAlign w:val="center"/>
          </w:tcPr>
          <w:p>
            <w:pPr>
              <w:pStyle w:val="83"/>
              <w:jc w:val="center"/>
            </w:pPr>
            <w:r>
              <w:rPr>
                <w:rFonts w:hint="eastAsia"/>
              </w:rPr>
              <w:t>合计：</w:t>
            </w:r>
          </w:p>
        </w:tc>
        <w:tc>
          <w:tcPr>
            <w:tcW w:w="2126" w:type="dxa"/>
            <w:vAlign w:val="center"/>
          </w:tcPr>
          <w:p>
            <w:pPr>
              <w:pStyle w:val="83"/>
              <w:jc w:val="center"/>
              <w:rPr>
                <w:rFonts w:hint="eastAsia" w:eastAsia="宋体"/>
                <w:b/>
                <w:lang w:val="en-US" w:eastAsia="zh-CN"/>
              </w:rPr>
            </w:pPr>
            <w:r>
              <w:rPr>
                <w:rFonts w:hint="eastAsia"/>
                <w:b/>
                <w:lang w:val="en-US" w:eastAsia="zh-CN"/>
              </w:rPr>
              <w:t>总价包干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356" w:type="dxa"/>
            <w:gridSpan w:val="6"/>
            <w:vAlign w:val="center"/>
          </w:tcPr>
          <w:p>
            <w:pPr>
              <w:pStyle w:val="83"/>
              <w:jc w:val="both"/>
              <w:rPr>
                <w:b/>
              </w:rPr>
            </w:pPr>
            <w:r>
              <w:rPr>
                <w:rFonts w:hint="eastAsia"/>
              </w:rPr>
              <w:t>投标总价大写（人民币）：</w:t>
            </w:r>
          </w:p>
        </w:tc>
      </w:tr>
    </w:tbl>
    <w:p>
      <w:pPr>
        <w:pStyle w:val="76"/>
        <w:ind w:firstLine="560"/>
      </w:pPr>
    </w:p>
    <w:p>
      <w:pPr>
        <w:spacing w:before="0" w:after="0" w:line="240" w:lineRule="auto"/>
        <w:jc w:val="left"/>
        <w:rPr>
          <w:rFonts w:ascii="Times New Roman" w:hAnsi="Times New Roman" w:eastAsia="宋体"/>
          <w:sz w:val="28"/>
          <w:szCs w:val="28"/>
        </w:rPr>
      </w:pPr>
      <w:r>
        <w:br w:type="page"/>
      </w:r>
    </w:p>
    <w:p>
      <w:pPr>
        <w:pStyle w:val="79"/>
      </w:pPr>
      <w:bookmarkStart w:id="243" w:name="_Toc21440"/>
      <w:r>
        <w:rPr>
          <w:rFonts w:hint="eastAsia"/>
        </w:rPr>
        <w:t>3</w:t>
      </w:r>
      <w:r>
        <w:t xml:space="preserve">. </w:t>
      </w:r>
      <w:r>
        <w:rPr>
          <w:rFonts w:hint="eastAsia"/>
        </w:rPr>
        <w:t>资格审查资料</w:t>
      </w:r>
    </w:p>
    <w:p>
      <w:pPr>
        <w:pStyle w:val="75"/>
      </w:pPr>
      <w:r>
        <w:rPr>
          <w:rFonts w:hint="eastAsia"/>
        </w:rPr>
        <w:t>营业执照+资质材料</w:t>
      </w:r>
    </w:p>
    <w:p>
      <w:pPr>
        <w:spacing w:before="0" w:after="0" w:line="240" w:lineRule="auto"/>
        <w:jc w:val="left"/>
        <w:rPr>
          <w:rFonts w:ascii="Times New Roman" w:hAnsi="Times New Roman" w:eastAsia="宋体"/>
          <w:sz w:val="28"/>
          <w:szCs w:val="28"/>
        </w:rPr>
      </w:pPr>
      <w:r>
        <w:br w:type="page"/>
      </w:r>
    </w:p>
    <w:bookmarkEnd w:id="243"/>
    <w:p>
      <w:pPr>
        <w:pStyle w:val="79"/>
      </w:pPr>
      <w:bookmarkStart w:id="244" w:name="_Toc23276"/>
      <w:r>
        <w:rPr>
          <w:rFonts w:hint="eastAsia"/>
        </w:rPr>
        <w:t>4</w:t>
      </w:r>
      <w:r>
        <w:t>.</w:t>
      </w:r>
      <w:r>
        <w:rPr>
          <w:rFonts w:hint="eastAsia"/>
        </w:rPr>
        <w:t xml:space="preserve"> 投标人概况及近</w:t>
      </w:r>
      <w:r>
        <w:rPr>
          <w:rFonts w:hint="eastAsia"/>
          <w:lang w:val="en-US" w:eastAsia="zh-CN"/>
        </w:rPr>
        <w:t>3</w:t>
      </w:r>
      <w:r>
        <w:rPr>
          <w:rFonts w:hint="eastAsia"/>
        </w:rPr>
        <w:t>年（</w:t>
      </w:r>
      <w:r>
        <w:rPr>
          <w:rFonts w:hint="eastAsia"/>
          <w:lang w:val="en-US" w:eastAsia="zh-CN"/>
        </w:rPr>
        <w:t>2017-</w:t>
      </w:r>
      <w:r>
        <w:rPr>
          <w:rFonts w:hint="eastAsia"/>
        </w:rPr>
        <w:t>2019年）经审计的财务报表</w:t>
      </w:r>
      <w:bookmarkEnd w:id="244"/>
    </w:p>
    <w:p>
      <w:pPr>
        <w:shd w:val="clear" w:color="auto" w:fill="FFFFFF"/>
        <w:adjustRightInd w:val="0"/>
        <w:snapToGrid w:val="0"/>
        <w:spacing w:before="0" w:after="0" w:line="360" w:lineRule="auto"/>
        <w:jc w:val="center"/>
        <w:rPr>
          <w:rFonts w:ascii="Times New Roman" w:hAnsi="Times New Roman" w:eastAsia="宋体"/>
          <w:kern w:val="0"/>
          <w:sz w:val="28"/>
          <w:szCs w:val="28"/>
        </w:rPr>
      </w:pPr>
      <w:r>
        <w:rPr>
          <w:rFonts w:hint="eastAsia" w:ascii="Times New Roman" w:hAnsi="Times New Roman" w:eastAsia="宋体"/>
          <w:kern w:val="0"/>
          <w:sz w:val="28"/>
          <w:szCs w:val="28"/>
        </w:rPr>
        <w:t>投标人概况</w:t>
      </w:r>
    </w:p>
    <w:tbl>
      <w:tblPr>
        <w:tblStyle w:val="3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042"/>
        <w:gridCol w:w="1332"/>
        <w:gridCol w:w="1134"/>
        <w:gridCol w:w="1134"/>
        <w:gridCol w:w="208"/>
        <w:gridCol w:w="335"/>
        <w:gridCol w:w="398"/>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投标人名称</w:t>
            </w:r>
          </w:p>
        </w:tc>
        <w:tc>
          <w:tcPr>
            <w:tcW w:w="7199" w:type="dxa"/>
            <w:gridSpan w:val="8"/>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注册地址</w:t>
            </w:r>
          </w:p>
        </w:tc>
        <w:tc>
          <w:tcPr>
            <w:tcW w:w="3508" w:type="dxa"/>
            <w:gridSpan w:val="3"/>
            <w:vAlign w:val="center"/>
          </w:tcPr>
          <w:p>
            <w:pPr>
              <w:spacing w:line="360" w:lineRule="auto"/>
              <w:jc w:val="center"/>
              <w:rPr>
                <w:rFonts w:ascii="宋体" w:hAnsi="宋体" w:eastAsia="宋体"/>
              </w:rPr>
            </w:pPr>
          </w:p>
        </w:tc>
        <w:tc>
          <w:tcPr>
            <w:tcW w:w="1134" w:type="dxa"/>
            <w:vAlign w:val="center"/>
          </w:tcPr>
          <w:p>
            <w:pPr>
              <w:spacing w:line="360" w:lineRule="auto"/>
              <w:jc w:val="center"/>
              <w:rPr>
                <w:rFonts w:ascii="宋体" w:hAnsi="宋体" w:eastAsia="宋体"/>
              </w:rPr>
            </w:pPr>
            <w:r>
              <w:rPr>
                <w:rFonts w:hint="eastAsia" w:ascii="宋体" w:hAnsi="宋体" w:eastAsia="宋体"/>
              </w:rPr>
              <w:t>邮政编码</w:t>
            </w:r>
          </w:p>
        </w:tc>
        <w:tc>
          <w:tcPr>
            <w:tcW w:w="2557" w:type="dxa"/>
            <w:gridSpan w:val="4"/>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Merge w:val="restart"/>
            <w:vAlign w:val="center"/>
          </w:tcPr>
          <w:p>
            <w:pPr>
              <w:spacing w:line="360" w:lineRule="auto"/>
              <w:jc w:val="center"/>
              <w:rPr>
                <w:rFonts w:ascii="宋体" w:hAnsi="宋体" w:eastAsia="宋体"/>
              </w:rPr>
            </w:pPr>
            <w:r>
              <w:rPr>
                <w:rFonts w:hint="eastAsia" w:ascii="宋体" w:hAnsi="宋体" w:eastAsia="宋体"/>
              </w:rPr>
              <w:t>联系方式</w:t>
            </w:r>
          </w:p>
        </w:tc>
        <w:tc>
          <w:tcPr>
            <w:tcW w:w="1042" w:type="dxa"/>
            <w:vAlign w:val="center"/>
          </w:tcPr>
          <w:p>
            <w:pPr>
              <w:spacing w:line="360" w:lineRule="auto"/>
              <w:jc w:val="center"/>
              <w:rPr>
                <w:rFonts w:ascii="宋体" w:hAnsi="宋体" w:eastAsia="宋体"/>
              </w:rPr>
            </w:pPr>
            <w:r>
              <w:rPr>
                <w:rFonts w:hint="eastAsia" w:ascii="宋体" w:hAnsi="宋体" w:eastAsia="宋体"/>
              </w:rPr>
              <w:t>联系人</w:t>
            </w:r>
          </w:p>
        </w:tc>
        <w:tc>
          <w:tcPr>
            <w:tcW w:w="2466" w:type="dxa"/>
            <w:gridSpan w:val="2"/>
            <w:vAlign w:val="center"/>
          </w:tcPr>
          <w:p>
            <w:pPr>
              <w:spacing w:line="360" w:lineRule="auto"/>
              <w:jc w:val="center"/>
              <w:rPr>
                <w:rFonts w:ascii="宋体" w:hAnsi="宋体" w:eastAsia="宋体"/>
              </w:rPr>
            </w:pPr>
          </w:p>
        </w:tc>
        <w:tc>
          <w:tcPr>
            <w:tcW w:w="1134" w:type="dxa"/>
            <w:vAlign w:val="center"/>
          </w:tcPr>
          <w:p>
            <w:pPr>
              <w:spacing w:line="360" w:lineRule="auto"/>
              <w:jc w:val="center"/>
              <w:rPr>
                <w:rFonts w:ascii="宋体" w:hAnsi="宋体" w:eastAsia="宋体"/>
              </w:rPr>
            </w:pPr>
            <w:r>
              <w:rPr>
                <w:rFonts w:hint="eastAsia" w:ascii="宋体" w:hAnsi="宋体" w:eastAsia="宋体"/>
              </w:rPr>
              <w:t>电话</w:t>
            </w:r>
          </w:p>
        </w:tc>
        <w:tc>
          <w:tcPr>
            <w:tcW w:w="2557" w:type="dxa"/>
            <w:gridSpan w:val="4"/>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Merge w:val="continue"/>
            <w:vAlign w:val="center"/>
          </w:tcPr>
          <w:p>
            <w:pPr>
              <w:spacing w:line="360" w:lineRule="auto"/>
              <w:jc w:val="center"/>
              <w:rPr>
                <w:rFonts w:ascii="宋体" w:hAnsi="宋体" w:eastAsia="宋体"/>
              </w:rPr>
            </w:pPr>
          </w:p>
        </w:tc>
        <w:tc>
          <w:tcPr>
            <w:tcW w:w="1042" w:type="dxa"/>
            <w:vAlign w:val="center"/>
          </w:tcPr>
          <w:p>
            <w:pPr>
              <w:spacing w:line="360" w:lineRule="auto"/>
              <w:jc w:val="center"/>
              <w:rPr>
                <w:rFonts w:ascii="宋体" w:hAnsi="宋体" w:eastAsia="宋体"/>
              </w:rPr>
            </w:pPr>
            <w:r>
              <w:rPr>
                <w:rFonts w:hint="eastAsia" w:ascii="宋体" w:hAnsi="宋体" w:eastAsia="宋体"/>
              </w:rPr>
              <w:t>传真</w:t>
            </w:r>
          </w:p>
        </w:tc>
        <w:tc>
          <w:tcPr>
            <w:tcW w:w="2466" w:type="dxa"/>
            <w:gridSpan w:val="2"/>
            <w:vAlign w:val="center"/>
          </w:tcPr>
          <w:p>
            <w:pPr>
              <w:spacing w:line="360" w:lineRule="auto"/>
              <w:jc w:val="center"/>
              <w:rPr>
                <w:rFonts w:ascii="宋体" w:hAnsi="宋体" w:eastAsia="宋体"/>
              </w:rPr>
            </w:pPr>
          </w:p>
        </w:tc>
        <w:tc>
          <w:tcPr>
            <w:tcW w:w="1134" w:type="dxa"/>
            <w:vAlign w:val="center"/>
          </w:tcPr>
          <w:p>
            <w:pPr>
              <w:spacing w:line="360" w:lineRule="auto"/>
              <w:jc w:val="center"/>
              <w:rPr>
                <w:rFonts w:ascii="宋体" w:hAnsi="宋体" w:eastAsia="宋体"/>
              </w:rPr>
            </w:pPr>
            <w:r>
              <w:rPr>
                <w:rFonts w:hint="eastAsia" w:ascii="宋体" w:hAnsi="宋体" w:eastAsia="宋体"/>
              </w:rPr>
              <w:t>网址</w:t>
            </w:r>
          </w:p>
        </w:tc>
        <w:tc>
          <w:tcPr>
            <w:tcW w:w="2557" w:type="dxa"/>
            <w:gridSpan w:val="4"/>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组织结构</w:t>
            </w:r>
          </w:p>
        </w:tc>
        <w:tc>
          <w:tcPr>
            <w:tcW w:w="7199" w:type="dxa"/>
            <w:gridSpan w:val="8"/>
            <w:vAlign w:val="center"/>
          </w:tcPr>
          <w:p>
            <w:pPr>
              <w:spacing w:line="360" w:lineRule="auto"/>
              <w:jc w:val="center"/>
              <w:rPr>
                <w:rFonts w:ascii="宋体" w:hAnsi="宋体" w:eastAsia="宋体"/>
              </w:rPr>
            </w:pPr>
            <w:r>
              <w:rPr>
                <w:rFonts w:hint="eastAsia" w:ascii="宋体" w:hAnsi="宋体" w:eastAsia="宋体"/>
              </w:rPr>
              <w:t>附</w:t>
            </w:r>
            <w:r>
              <w:rPr>
                <w:rFonts w:ascii="宋体" w:hAnsi="宋体" w:eastAsia="宋体"/>
              </w:rPr>
              <w:t>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法定代表人</w:t>
            </w:r>
          </w:p>
        </w:tc>
        <w:tc>
          <w:tcPr>
            <w:tcW w:w="1042" w:type="dxa"/>
            <w:vAlign w:val="center"/>
          </w:tcPr>
          <w:p>
            <w:pPr>
              <w:spacing w:line="360" w:lineRule="auto"/>
              <w:jc w:val="center"/>
              <w:rPr>
                <w:rFonts w:ascii="宋体" w:hAnsi="宋体" w:eastAsia="宋体"/>
              </w:rPr>
            </w:pPr>
            <w:r>
              <w:rPr>
                <w:rFonts w:hint="eastAsia" w:ascii="宋体" w:hAnsi="宋体" w:eastAsia="宋体"/>
              </w:rPr>
              <w:t>姓名</w:t>
            </w:r>
          </w:p>
        </w:tc>
        <w:tc>
          <w:tcPr>
            <w:tcW w:w="1332" w:type="dxa"/>
            <w:vAlign w:val="center"/>
          </w:tcPr>
          <w:p>
            <w:pPr>
              <w:spacing w:line="360" w:lineRule="auto"/>
              <w:jc w:val="center"/>
              <w:rPr>
                <w:rFonts w:ascii="宋体" w:hAnsi="宋体" w:eastAsia="宋体"/>
              </w:rPr>
            </w:pPr>
          </w:p>
        </w:tc>
        <w:tc>
          <w:tcPr>
            <w:tcW w:w="1134" w:type="dxa"/>
            <w:vAlign w:val="center"/>
          </w:tcPr>
          <w:p>
            <w:pPr>
              <w:spacing w:line="360" w:lineRule="auto"/>
              <w:jc w:val="center"/>
              <w:rPr>
                <w:rFonts w:ascii="宋体" w:hAnsi="宋体" w:eastAsia="宋体"/>
              </w:rPr>
            </w:pPr>
            <w:r>
              <w:rPr>
                <w:rFonts w:hint="eastAsia" w:ascii="宋体" w:hAnsi="宋体" w:eastAsia="宋体"/>
              </w:rPr>
              <w:t>技术职称</w:t>
            </w:r>
          </w:p>
        </w:tc>
        <w:tc>
          <w:tcPr>
            <w:tcW w:w="1342" w:type="dxa"/>
            <w:gridSpan w:val="2"/>
            <w:vAlign w:val="center"/>
          </w:tcPr>
          <w:p>
            <w:pPr>
              <w:spacing w:line="360" w:lineRule="auto"/>
              <w:jc w:val="center"/>
              <w:rPr>
                <w:rFonts w:ascii="宋体" w:hAnsi="宋体" w:eastAsia="宋体"/>
              </w:rPr>
            </w:pPr>
          </w:p>
        </w:tc>
        <w:tc>
          <w:tcPr>
            <w:tcW w:w="733" w:type="dxa"/>
            <w:gridSpan w:val="2"/>
            <w:vAlign w:val="center"/>
          </w:tcPr>
          <w:p>
            <w:pPr>
              <w:spacing w:line="360" w:lineRule="auto"/>
              <w:jc w:val="center"/>
              <w:rPr>
                <w:rFonts w:ascii="宋体" w:hAnsi="宋体" w:eastAsia="宋体"/>
              </w:rPr>
            </w:pPr>
            <w:r>
              <w:rPr>
                <w:rFonts w:hint="eastAsia" w:ascii="宋体" w:hAnsi="宋体" w:eastAsia="宋体"/>
              </w:rPr>
              <w:t>电话</w:t>
            </w:r>
          </w:p>
        </w:tc>
        <w:tc>
          <w:tcPr>
            <w:tcW w:w="1616" w:type="dxa"/>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技术负责人</w:t>
            </w:r>
          </w:p>
        </w:tc>
        <w:tc>
          <w:tcPr>
            <w:tcW w:w="1042" w:type="dxa"/>
            <w:vAlign w:val="center"/>
          </w:tcPr>
          <w:p>
            <w:pPr>
              <w:spacing w:line="360" w:lineRule="auto"/>
              <w:jc w:val="center"/>
              <w:rPr>
                <w:rFonts w:ascii="宋体" w:hAnsi="宋体" w:eastAsia="宋体"/>
              </w:rPr>
            </w:pPr>
            <w:r>
              <w:rPr>
                <w:rFonts w:hint="eastAsia" w:ascii="宋体" w:hAnsi="宋体" w:eastAsia="宋体"/>
              </w:rPr>
              <w:t>姓名</w:t>
            </w:r>
          </w:p>
        </w:tc>
        <w:tc>
          <w:tcPr>
            <w:tcW w:w="1332" w:type="dxa"/>
            <w:vAlign w:val="center"/>
          </w:tcPr>
          <w:p>
            <w:pPr>
              <w:spacing w:line="360" w:lineRule="auto"/>
              <w:jc w:val="center"/>
              <w:rPr>
                <w:rFonts w:ascii="宋体" w:hAnsi="宋体" w:eastAsia="宋体"/>
              </w:rPr>
            </w:pPr>
          </w:p>
        </w:tc>
        <w:tc>
          <w:tcPr>
            <w:tcW w:w="1134" w:type="dxa"/>
            <w:vAlign w:val="center"/>
          </w:tcPr>
          <w:p>
            <w:pPr>
              <w:spacing w:line="360" w:lineRule="auto"/>
              <w:jc w:val="center"/>
              <w:rPr>
                <w:rFonts w:ascii="宋体" w:hAnsi="宋体" w:eastAsia="宋体"/>
              </w:rPr>
            </w:pPr>
            <w:r>
              <w:rPr>
                <w:rFonts w:hint="eastAsia" w:ascii="宋体" w:hAnsi="宋体" w:eastAsia="宋体"/>
              </w:rPr>
              <w:t>技术职称</w:t>
            </w:r>
          </w:p>
        </w:tc>
        <w:tc>
          <w:tcPr>
            <w:tcW w:w="1342" w:type="dxa"/>
            <w:gridSpan w:val="2"/>
            <w:vAlign w:val="center"/>
          </w:tcPr>
          <w:p>
            <w:pPr>
              <w:spacing w:line="360" w:lineRule="auto"/>
              <w:jc w:val="center"/>
              <w:rPr>
                <w:rFonts w:ascii="宋体" w:hAnsi="宋体" w:eastAsia="宋体"/>
              </w:rPr>
            </w:pPr>
          </w:p>
        </w:tc>
        <w:tc>
          <w:tcPr>
            <w:tcW w:w="733" w:type="dxa"/>
            <w:gridSpan w:val="2"/>
            <w:vAlign w:val="center"/>
          </w:tcPr>
          <w:p>
            <w:pPr>
              <w:spacing w:line="360" w:lineRule="auto"/>
              <w:jc w:val="center"/>
              <w:rPr>
                <w:rFonts w:ascii="宋体" w:hAnsi="宋体" w:eastAsia="宋体"/>
              </w:rPr>
            </w:pPr>
            <w:r>
              <w:rPr>
                <w:rFonts w:hint="eastAsia" w:ascii="宋体" w:hAnsi="宋体" w:eastAsia="宋体"/>
              </w:rPr>
              <w:t>电话</w:t>
            </w:r>
          </w:p>
        </w:tc>
        <w:tc>
          <w:tcPr>
            <w:tcW w:w="1616" w:type="dxa"/>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成立时间</w:t>
            </w:r>
          </w:p>
        </w:tc>
        <w:tc>
          <w:tcPr>
            <w:tcW w:w="2374" w:type="dxa"/>
            <w:gridSpan w:val="2"/>
            <w:vAlign w:val="center"/>
          </w:tcPr>
          <w:p>
            <w:pPr>
              <w:spacing w:line="360" w:lineRule="auto"/>
              <w:jc w:val="center"/>
              <w:rPr>
                <w:rFonts w:ascii="宋体" w:hAnsi="宋体" w:eastAsia="宋体"/>
              </w:rPr>
            </w:pPr>
          </w:p>
        </w:tc>
        <w:tc>
          <w:tcPr>
            <w:tcW w:w="2476" w:type="dxa"/>
            <w:gridSpan w:val="3"/>
            <w:vAlign w:val="center"/>
          </w:tcPr>
          <w:p>
            <w:pPr>
              <w:spacing w:line="360" w:lineRule="auto"/>
              <w:jc w:val="center"/>
              <w:rPr>
                <w:rFonts w:ascii="宋体" w:hAnsi="宋体" w:eastAsia="宋体"/>
              </w:rPr>
            </w:pPr>
            <w:r>
              <w:rPr>
                <w:rFonts w:hint="eastAsia" w:ascii="宋体" w:hAnsi="宋体" w:eastAsia="宋体"/>
              </w:rPr>
              <w:t>员工总人数</w:t>
            </w:r>
          </w:p>
        </w:tc>
        <w:tc>
          <w:tcPr>
            <w:tcW w:w="2349" w:type="dxa"/>
            <w:gridSpan w:val="3"/>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企业资质等级</w:t>
            </w:r>
          </w:p>
        </w:tc>
        <w:tc>
          <w:tcPr>
            <w:tcW w:w="2374" w:type="dxa"/>
            <w:gridSpan w:val="2"/>
            <w:vAlign w:val="center"/>
          </w:tcPr>
          <w:p>
            <w:pPr>
              <w:spacing w:line="360" w:lineRule="auto"/>
              <w:jc w:val="center"/>
              <w:rPr>
                <w:rFonts w:ascii="宋体" w:hAnsi="宋体" w:eastAsia="宋体"/>
              </w:rPr>
            </w:pPr>
          </w:p>
        </w:tc>
        <w:tc>
          <w:tcPr>
            <w:tcW w:w="1134" w:type="dxa"/>
            <w:vMerge w:val="restart"/>
            <w:vAlign w:val="center"/>
          </w:tcPr>
          <w:p>
            <w:pPr>
              <w:spacing w:line="360" w:lineRule="auto"/>
              <w:jc w:val="center"/>
              <w:rPr>
                <w:rFonts w:ascii="宋体" w:hAnsi="宋体" w:eastAsia="宋体"/>
              </w:rPr>
            </w:pPr>
            <w:r>
              <w:rPr>
                <w:rFonts w:hint="eastAsia" w:ascii="宋体" w:hAnsi="宋体" w:eastAsia="宋体"/>
              </w:rPr>
              <w:t>其中</w:t>
            </w:r>
          </w:p>
        </w:tc>
        <w:tc>
          <w:tcPr>
            <w:tcW w:w="1677" w:type="dxa"/>
            <w:gridSpan w:val="3"/>
            <w:vAlign w:val="center"/>
          </w:tcPr>
          <w:p>
            <w:pPr>
              <w:spacing w:line="360" w:lineRule="auto"/>
              <w:jc w:val="center"/>
              <w:rPr>
                <w:rFonts w:ascii="宋体" w:hAnsi="宋体" w:eastAsia="宋体"/>
              </w:rPr>
            </w:pPr>
            <w:r>
              <w:rPr>
                <w:rFonts w:hint="eastAsia" w:ascii="宋体" w:hAnsi="宋体" w:eastAsia="宋体"/>
              </w:rPr>
              <w:t>注册人员</w:t>
            </w:r>
          </w:p>
        </w:tc>
        <w:tc>
          <w:tcPr>
            <w:tcW w:w="2014" w:type="dxa"/>
            <w:gridSpan w:val="2"/>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营业执照号</w:t>
            </w:r>
          </w:p>
        </w:tc>
        <w:tc>
          <w:tcPr>
            <w:tcW w:w="2374" w:type="dxa"/>
            <w:gridSpan w:val="2"/>
            <w:vAlign w:val="center"/>
          </w:tcPr>
          <w:p>
            <w:pPr>
              <w:spacing w:line="360" w:lineRule="auto"/>
              <w:jc w:val="center"/>
              <w:rPr>
                <w:rFonts w:ascii="宋体" w:hAnsi="宋体" w:eastAsia="宋体"/>
              </w:rPr>
            </w:pPr>
          </w:p>
        </w:tc>
        <w:tc>
          <w:tcPr>
            <w:tcW w:w="1134" w:type="dxa"/>
            <w:vMerge w:val="continue"/>
            <w:vAlign w:val="center"/>
          </w:tcPr>
          <w:p>
            <w:pPr>
              <w:spacing w:line="360" w:lineRule="auto"/>
              <w:jc w:val="center"/>
              <w:rPr>
                <w:rFonts w:ascii="宋体" w:hAnsi="宋体" w:eastAsia="宋体"/>
              </w:rPr>
            </w:pPr>
          </w:p>
        </w:tc>
        <w:tc>
          <w:tcPr>
            <w:tcW w:w="1677" w:type="dxa"/>
            <w:gridSpan w:val="3"/>
            <w:vAlign w:val="center"/>
          </w:tcPr>
          <w:p>
            <w:pPr>
              <w:spacing w:line="360" w:lineRule="auto"/>
              <w:jc w:val="center"/>
              <w:rPr>
                <w:rFonts w:ascii="宋体" w:hAnsi="宋体" w:eastAsia="宋体"/>
              </w:rPr>
            </w:pPr>
            <w:r>
              <w:rPr>
                <w:rFonts w:hint="eastAsia" w:ascii="宋体" w:hAnsi="宋体" w:eastAsia="宋体"/>
              </w:rPr>
              <w:t>高级职称人员</w:t>
            </w:r>
          </w:p>
        </w:tc>
        <w:tc>
          <w:tcPr>
            <w:tcW w:w="2014" w:type="dxa"/>
            <w:gridSpan w:val="2"/>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注册资金</w:t>
            </w:r>
          </w:p>
        </w:tc>
        <w:tc>
          <w:tcPr>
            <w:tcW w:w="2374" w:type="dxa"/>
            <w:gridSpan w:val="2"/>
            <w:vAlign w:val="center"/>
          </w:tcPr>
          <w:p>
            <w:pPr>
              <w:spacing w:line="360" w:lineRule="auto"/>
              <w:jc w:val="center"/>
              <w:rPr>
                <w:rFonts w:ascii="宋体" w:hAnsi="宋体" w:eastAsia="宋体"/>
              </w:rPr>
            </w:pPr>
          </w:p>
        </w:tc>
        <w:tc>
          <w:tcPr>
            <w:tcW w:w="1134" w:type="dxa"/>
            <w:vMerge w:val="continue"/>
            <w:vAlign w:val="center"/>
          </w:tcPr>
          <w:p>
            <w:pPr>
              <w:spacing w:line="360" w:lineRule="auto"/>
              <w:jc w:val="center"/>
              <w:rPr>
                <w:rFonts w:ascii="宋体" w:hAnsi="宋体" w:eastAsia="宋体"/>
              </w:rPr>
            </w:pPr>
          </w:p>
        </w:tc>
        <w:tc>
          <w:tcPr>
            <w:tcW w:w="1677" w:type="dxa"/>
            <w:gridSpan w:val="3"/>
            <w:vAlign w:val="center"/>
          </w:tcPr>
          <w:p>
            <w:pPr>
              <w:spacing w:line="360" w:lineRule="auto"/>
              <w:jc w:val="center"/>
              <w:rPr>
                <w:rFonts w:ascii="宋体" w:hAnsi="宋体" w:eastAsia="宋体"/>
              </w:rPr>
            </w:pPr>
            <w:r>
              <w:rPr>
                <w:rFonts w:hint="eastAsia" w:ascii="宋体" w:hAnsi="宋体" w:eastAsia="宋体"/>
              </w:rPr>
              <w:t>中级职称人员</w:t>
            </w:r>
          </w:p>
        </w:tc>
        <w:tc>
          <w:tcPr>
            <w:tcW w:w="2014" w:type="dxa"/>
            <w:gridSpan w:val="2"/>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开户银行</w:t>
            </w:r>
          </w:p>
        </w:tc>
        <w:tc>
          <w:tcPr>
            <w:tcW w:w="2374" w:type="dxa"/>
            <w:gridSpan w:val="2"/>
            <w:vAlign w:val="center"/>
          </w:tcPr>
          <w:p>
            <w:pPr>
              <w:spacing w:line="360" w:lineRule="auto"/>
              <w:jc w:val="center"/>
              <w:rPr>
                <w:rFonts w:ascii="宋体" w:hAnsi="宋体" w:eastAsia="宋体"/>
              </w:rPr>
            </w:pPr>
          </w:p>
        </w:tc>
        <w:tc>
          <w:tcPr>
            <w:tcW w:w="1134" w:type="dxa"/>
            <w:vMerge w:val="continue"/>
            <w:vAlign w:val="center"/>
          </w:tcPr>
          <w:p>
            <w:pPr>
              <w:spacing w:line="360" w:lineRule="auto"/>
              <w:jc w:val="center"/>
              <w:rPr>
                <w:rFonts w:ascii="宋体" w:hAnsi="宋体" w:eastAsia="宋体"/>
              </w:rPr>
            </w:pPr>
          </w:p>
        </w:tc>
        <w:tc>
          <w:tcPr>
            <w:tcW w:w="1677" w:type="dxa"/>
            <w:gridSpan w:val="3"/>
            <w:vAlign w:val="center"/>
          </w:tcPr>
          <w:p>
            <w:pPr>
              <w:spacing w:line="360" w:lineRule="auto"/>
              <w:jc w:val="center"/>
              <w:rPr>
                <w:rFonts w:ascii="宋体" w:hAnsi="宋体" w:eastAsia="宋体"/>
              </w:rPr>
            </w:pPr>
            <w:r>
              <w:rPr>
                <w:rFonts w:hint="eastAsia" w:ascii="宋体" w:hAnsi="宋体" w:eastAsia="宋体"/>
              </w:rPr>
              <w:t>初级职称人员</w:t>
            </w:r>
          </w:p>
        </w:tc>
        <w:tc>
          <w:tcPr>
            <w:tcW w:w="2014" w:type="dxa"/>
            <w:gridSpan w:val="2"/>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帐号</w:t>
            </w:r>
          </w:p>
        </w:tc>
        <w:tc>
          <w:tcPr>
            <w:tcW w:w="2374" w:type="dxa"/>
            <w:gridSpan w:val="2"/>
            <w:vAlign w:val="center"/>
          </w:tcPr>
          <w:p>
            <w:pPr>
              <w:spacing w:line="360" w:lineRule="auto"/>
              <w:jc w:val="center"/>
              <w:rPr>
                <w:rFonts w:ascii="宋体" w:hAnsi="宋体" w:eastAsia="宋体"/>
              </w:rPr>
            </w:pPr>
          </w:p>
        </w:tc>
        <w:tc>
          <w:tcPr>
            <w:tcW w:w="1134" w:type="dxa"/>
            <w:vMerge w:val="continue"/>
            <w:vAlign w:val="center"/>
          </w:tcPr>
          <w:p>
            <w:pPr>
              <w:spacing w:line="360" w:lineRule="auto"/>
              <w:jc w:val="center"/>
              <w:rPr>
                <w:rFonts w:ascii="宋体" w:hAnsi="宋体" w:eastAsia="宋体"/>
              </w:rPr>
            </w:pPr>
          </w:p>
        </w:tc>
        <w:tc>
          <w:tcPr>
            <w:tcW w:w="1677" w:type="dxa"/>
            <w:gridSpan w:val="3"/>
            <w:vAlign w:val="center"/>
          </w:tcPr>
          <w:p>
            <w:pPr>
              <w:spacing w:line="360" w:lineRule="auto"/>
              <w:jc w:val="center"/>
              <w:rPr>
                <w:rFonts w:ascii="宋体" w:hAnsi="宋体" w:eastAsia="宋体"/>
              </w:rPr>
            </w:pPr>
            <w:r>
              <w:rPr>
                <w:rFonts w:hint="eastAsia" w:ascii="宋体" w:hAnsi="宋体" w:eastAsia="宋体"/>
              </w:rPr>
              <w:t>技工</w:t>
            </w:r>
          </w:p>
        </w:tc>
        <w:tc>
          <w:tcPr>
            <w:tcW w:w="2014" w:type="dxa"/>
            <w:gridSpan w:val="2"/>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36" w:hRule="atLeast"/>
          <w:jc w:val="center"/>
        </w:trPr>
        <w:tc>
          <w:tcPr>
            <w:tcW w:w="1590" w:type="dxa"/>
            <w:vAlign w:val="center"/>
          </w:tcPr>
          <w:p>
            <w:pPr>
              <w:spacing w:line="360" w:lineRule="auto"/>
              <w:jc w:val="center"/>
              <w:rPr>
                <w:rFonts w:ascii="宋体" w:hAnsi="宋体" w:eastAsia="宋体"/>
              </w:rPr>
            </w:pPr>
            <w:r>
              <w:rPr>
                <w:rFonts w:hint="eastAsia" w:ascii="宋体" w:hAnsi="宋体" w:eastAsia="宋体"/>
              </w:rPr>
              <w:t>经营范围</w:t>
            </w:r>
          </w:p>
        </w:tc>
        <w:tc>
          <w:tcPr>
            <w:tcW w:w="7199" w:type="dxa"/>
            <w:gridSpan w:val="8"/>
            <w:vAlign w:val="center"/>
          </w:tcPr>
          <w:p>
            <w:pPr>
              <w:spacing w:line="360" w:lineRule="auto"/>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备注</w:t>
            </w:r>
          </w:p>
        </w:tc>
        <w:tc>
          <w:tcPr>
            <w:tcW w:w="7199" w:type="dxa"/>
            <w:gridSpan w:val="8"/>
            <w:vAlign w:val="center"/>
          </w:tcPr>
          <w:p>
            <w:pPr>
              <w:spacing w:line="360" w:lineRule="auto"/>
              <w:jc w:val="center"/>
              <w:rPr>
                <w:rFonts w:ascii="宋体" w:hAnsi="宋体" w:eastAsia="宋体"/>
              </w:rPr>
            </w:pPr>
          </w:p>
        </w:tc>
      </w:tr>
    </w:tbl>
    <w:p>
      <w:pPr>
        <w:pStyle w:val="13"/>
      </w:pPr>
    </w:p>
    <w:p>
      <w:pPr>
        <w:widowControl w:val="0"/>
        <w:spacing w:before="0" w:after="0" w:line="600" w:lineRule="exact"/>
        <w:rPr>
          <w:rFonts w:ascii="Times New Roman" w:hAnsi="Times New Roman" w:eastAsia="宋体"/>
          <w:b/>
          <w:sz w:val="24"/>
          <w:szCs w:val="24"/>
        </w:rPr>
      </w:pPr>
    </w:p>
    <w:p>
      <w:pPr>
        <w:spacing w:before="0" w:after="0" w:line="240" w:lineRule="auto"/>
        <w:jc w:val="left"/>
        <w:rPr>
          <w:rFonts w:ascii="Times New Roman" w:hAnsi="Times New Roman" w:eastAsia="宋体"/>
          <w:b/>
          <w:sz w:val="24"/>
          <w:szCs w:val="24"/>
        </w:rPr>
      </w:pPr>
      <w:r>
        <w:rPr>
          <w:rFonts w:ascii="Times New Roman" w:hAnsi="Times New Roman" w:eastAsia="宋体"/>
          <w:b/>
          <w:sz w:val="24"/>
          <w:szCs w:val="24"/>
        </w:rPr>
        <w:br w:type="page"/>
      </w:r>
    </w:p>
    <w:p>
      <w:pPr>
        <w:pStyle w:val="79"/>
      </w:pPr>
      <w:bookmarkStart w:id="245" w:name="_Toc26723"/>
      <w:r>
        <w:rPr>
          <w:rFonts w:hint="eastAsia"/>
        </w:rPr>
        <w:t>5</w:t>
      </w:r>
      <w:r>
        <w:t>.</w:t>
      </w:r>
      <w:r>
        <w:rPr>
          <w:rFonts w:hint="eastAsia"/>
        </w:rPr>
        <w:t xml:space="preserve"> 项目经理承诺函</w:t>
      </w:r>
      <w:bookmarkEnd w:id="245"/>
    </w:p>
    <w:p>
      <w:pPr>
        <w:jc w:val="center"/>
        <w:rPr>
          <w:rFonts w:ascii="Times New Roman" w:hAnsi="Times New Roman" w:eastAsia="宋体"/>
          <w:sz w:val="28"/>
          <w:szCs w:val="28"/>
        </w:rPr>
      </w:pPr>
      <w:r>
        <w:rPr>
          <w:rFonts w:hint="eastAsia" w:ascii="Times New Roman" w:hAnsi="Times New Roman" w:eastAsia="宋体"/>
          <w:b/>
          <w:sz w:val="28"/>
          <w:szCs w:val="28"/>
        </w:rPr>
        <w:t>承 诺 函</w:t>
      </w:r>
    </w:p>
    <w:p>
      <w:pPr>
        <w:widowControl w:val="0"/>
        <w:spacing w:before="0" w:after="0" w:line="360" w:lineRule="auto"/>
        <w:rPr>
          <w:rFonts w:ascii="Times New Roman" w:hAnsi="Times New Roman" w:eastAsia="宋体"/>
          <w:b/>
          <w:sz w:val="28"/>
          <w:szCs w:val="28"/>
        </w:rPr>
      </w:pPr>
      <w:r>
        <w:rPr>
          <w:rFonts w:hint="eastAsia" w:ascii="Times New Roman" w:hAnsi="Times New Roman" w:eastAsia="宋体"/>
          <w:sz w:val="28"/>
          <w:szCs w:val="28"/>
          <w:u w:val="single"/>
        </w:rPr>
        <w:t xml:space="preserve">致                     </w:t>
      </w:r>
      <w:r>
        <w:rPr>
          <w:rFonts w:hint="eastAsia" w:ascii="Times New Roman" w:hAnsi="Times New Roman" w:eastAsia="宋体"/>
          <w:sz w:val="28"/>
          <w:szCs w:val="28"/>
        </w:rPr>
        <w:t>：</w:t>
      </w:r>
    </w:p>
    <w:p>
      <w:pPr>
        <w:widowControl w:val="0"/>
        <w:spacing w:before="0" w:after="0" w:line="360" w:lineRule="auto"/>
        <w:ind w:firstLine="560" w:firstLineChars="200"/>
        <w:rPr>
          <w:rFonts w:ascii="Times New Roman" w:hAnsi="Times New Roman" w:eastAsia="宋体"/>
          <w:sz w:val="28"/>
          <w:szCs w:val="28"/>
        </w:rPr>
      </w:pPr>
      <w:r>
        <w:rPr>
          <w:rFonts w:hint="eastAsia" w:ascii="Times New Roman" w:hAnsi="Times New Roman" w:eastAsia="宋体"/>
          <w:sz w:val="28"/>
          <w:szCs w:val="28"/>
        </w:rPr>
        <w:t>根据贵单位提供的</w:t>
      </w:r>
      <w:r>
        <w:rPr>
          <w:rFonts w:hint="eastAsia" w:ascii="Times New Roman" w:hAnsi="Times New Roman" w:eastAsia="宋体"/>
          <w:b/>
          <w:sz w:val="28"/>
          <w:szCs w:val="28"/>
          <w:u w:val="single"/>
        </w:rPr>
        <w:t xml:space="preserve">                  </w:t>
      </w:r>
      <w:r>
        <w:rPr>
          <w:rFonts w:hint="eastAsia" w:ascii="Times New Roman" w:hAnsi="Times New Roman" w:eastAsia="宋体"/>
          <w:sz w:val="28"/>
          <w:szCs w:val="28"/>
        </w:rPr>
        <w:t>（招标文件名称）要求以及我公司相应的报价书，若我单位中选后承诺如下：</w:t>
      </w:r>
    </w:p>
    <w:p>
      <w:pPr>
        <w:widowControl w:val="0"/>
        <w:spacing w:before="0" w:after="0" w:line="360" w:lineRule="auto"/>
        <w:ind w:firstLine="570"/>
        <w:rPr>
          <w:rFonts w:ascii="Times New Roman" w:hAnsi="Times New Roman" w:eastAsia="宋体"/>
          <w:sz w:val="28"/>
          <w:szCs w:val="28"/>
        </w:rPr>
      </w:pPr>
      <w:r>
        <w:rPr>
          <w:rFonts w:hint="eastAsia" w:ascii="Times New Roman" w:hAnsi="Times New Roman" w:eastAsia="宋体"/>
          <w:sz w:val="28"/>
          <w:szCs w:val="28"/>
        </w:rPr>
        <w:t>1、质量承诺</w:t>
      </w:r>
    </w:p>
    <w:p>
      <w:pPr>
        <w:widowControl w:val="0"/>
        <w:spacing w:before="0" w:after="0" w:line="360" w:lineRule="auto"/>
        <w:ind w:firstLine="570"/>
        <w:rPr>
          <w:rFonts w:ascii="Times New Roman" w:hAnsi="Times New Roman" w:eastAsia="宋体"/>
          <w:sz w:val="28"/>
          <w:szCs w:val="28"/>
        </w:rPr>
      </w:pPr>
      <w:r>
        <w:rPr>
          <w:rFonts w:hint="eastAsia" w:ascii="Times New Roman" w:hAnsi="Times New Roman" w:eastAsia="宋体"/>
          <w:sz w:val="28"/>
          <w:szCs w:val="28"/>
        </w:rPr>
        <w:t>我单位将严格按照招标文件的要求、国家及行业现行规程、规范及技术标准的要求，组织具有丰富经验的设计人员履行本合同，直至取得相关批复意见。</w:t>
      </w:r>
    </w:p>
    <w:p>
      <w:pPr>
        <w:widowControl w:val="0"/>
        <w:spacing w:before="0" w:after="0" w:line="360" w:lineRule="auto"/>
        <w:ind w:firstLine="570"/>
        <w:rPr>
          <w:rFonts w:ascii="Times New Roman" w:hAnsi="Times New Roman" w:eastAsia="宋体"/>
          <w:sz w:val="28"/>
          <w:szCs w:val="28"/>
        </w:rPr>
      </w:pPr>
      <w:r>
        <w:rPr>
          <w:rFonts w:hint="eastAsia" w:ascii="Times New Roman" w:hAnsi="Times New Roman" w:eastAsia="宋体"/>
          <w:sz w:val="28"/>
          <w:szCs w:val="28"/>
        </w:rPr>
        <w:t>2、工期承诺</w:t>
      </w:r>
    </w:p>
    <w:p>
      <w:pPr>
        <w:widowControl w:val="0"/>
        <w:spacing w:before="0" w:after="0" w:line="360" w:lineRule="auto"/>
        <w:ind w:firstLine="570"/>
        <w:rPr>
          <w:rFonts w:ascii="Times New Roman" w:hAnsi="Times New Roman" w:eastAsia="宋体"/>
          <w:sz w:val="28"/>
          <w:szCs w:val="28"/>
        </w:rPr>
      </w:pPr>
      <w:r>
        <w:rPr>
          <w:rFonts w:hint="eastAsia" w:ascii="Times New Roman" w:hAnsi="Times New Roman" w:eastAsia="宋体"/>
          <w:sz w:val="28"/>
          <w:szCs w:val="28"/>
        </w:rPr>
        <w:t>我单位一定积极配合业主的工作，重合同、守信用，科学管理，精心组织，保证在规定的时间内完成本合同的全部工作内容。</w:t>
      </w:r>
    </w:p>
    <w:p>
      <w:pPr>
        <w:widowControl w:val="0"/>
        <w:spacing w:before="0" w:after="0" w:line="360" w:lineRule="auto"/>
        <w:ind w:firstLine="570"/>
        <w:rPr>
          <w:rFonts w:ascii="Times New Roman" w:hAnsi="Times New Roman" w:eastAsia="宋体"/>
          <w:sz w:val="28"/>
          <w:szCs w:val="28"/>
        </w:rPr>
      </w:pPr>
      <w:r>
        <w:rPr>
          <w:rFonts w:hint="eastAsia" w:ascii="Times New Roman" w:hAnsi="Times New Roman" w:eastAsia="宋体"/>
          <w:sz w:val="28"/>
          <w:szCs w:val="28"/>
        </w:rPr>
        <w:t>3、配合承诺</w:t>
      </w:r>
    </w:p>
    <w:p>
      <w:pPr>
        <w:widowControl w:val="0"/>
        <w:spacing w:before="0" w:after="0" w:line="360" w:lineRule="auto"/>
        <w:ind w:firstLine="570"/>
        <w:rPr>
          <w:rFonts w:ascii="Times New Roman" w:hAnsi="Times New Roman" w:eastAsia="宋体"/>
          <w:sz w:val="28"/>
          <w:szCs w:val="28"/>
        </w:rPr>
      </w:pPr>
      <w:r>
        <w:rPr>
          <w:rFonts w:hint="eastAsia" w:ascii="Times New Roman" w:hAnsi="Times New Roman" w:eastAsia="宋体"/>
          <w:sz w:val="28"/>
          <w:szCs w:val="28"/>
        </w:rPr>
        <w:t>在合同履行过程中完全服从业主对其他外委项目与本合同项目之间的总体协调工作，从整个项目的全局出发，做好与其他项目之间的协调配合工作。</w:t>
      </w:r>
    </w:p>
    <w:p>
      <w:pPr>
        <w:widowControl w:val="0"/>
        <w:spacing w:before="0" w:after="0" w:line="600" w:lineRule="exact"/>
        <w:rPr>
          <w:rFonts w:ascii="Times New Roman" w:hAnsi="Times New Roman" w:eastAsia="宋体"/>
          <w:sz w:val="28"/>
          <w:szCs w:val="28"/>
        </w:rPr>
      </w:pPr>
    </w:p>
    <w:p>
      <w:pPr>
        <w:widowControl w:val="0"/>
        <w:spacing w:before="0" w:after="0" w:line="600" w:lineRule="exact"/>
        <w:rPr>
          <w:rFonts w:ascii="Times New Roman" w:hAnsi="Times New Roman" w:eastAsia="宋体"/>
          <w:sz w:val="28"/>
          <w:szCs w:val="28"/>
        </w:rPr>
      </w:pPr>
    </w:p>
    <w:p>
      <w:pPr>
        <w:widowControl w:val="0"/>
        <w:spacing w:before="0" w:after="0" w:line="600" w:lineRule="exact"/>
        <w:ind w:firstLine="4675" w:firstLineChars="1461"/>
        <w:rPr>
          <w:rFonts w:ascii="Times New Roman" w:hAnsi="Times New Roman" w:eastAsia="宋体"/>
          <w:spacing w:val="20"/>
          <w:sz w:val="28"/>
          <w:szCs w:val="28"/>
          <w:u w:val="single"/>
        </w:rPr>
      </w:pPr>
      <w:r>
        <w:rPr>
          <w:rFonts w:hint="eastAsia" w:ascii="Times New Roman" w:hAnsi="Times New Roman" w:eastAsia="宋体"/>
          <w:spacing w:val="20"/>
          <w:sz w:val="28"/>
          <w:szCs w:val="28"/>
        </w:rPr>
        <w:t>承诺人：</w:t>
      </w:r>
      <w:r>
        <w:rPr>
          <w:rFonts w:hint="eastAsia" w:ascii="Times New Roman" w:hAnsi="Times New Roman" w:eastAsia="宋体"/>
          <w:spacing w:val="20"/>
          <w:sz w:val="28"/>
          <w:szCs w:val="28"/>
          <w:u w:val="single"/>
        </w:rPr>
        <w:t xml:space="preserve">           </w:t>
      </w:r>
    </w:p>
    <w:p>
      <w:pPr>
        <w:widowControl w:val="0"/>
        <w:spacing w:before="0" w:after="0" w:line="600" w:lineRule="exact"/>
        <w:ind w:firstLine="4676" w:firstLineChars="1670"/>
        <w:rPr>
          <w:rFonts w:ascii="Times New Roman" w:hAnsi="Times New Roman" w:eastAsia="宋体"/>
          <w:color w:val="3366FF"/>
          <w:w w:val="90"/>
          <w:sz w:val="28"/>
          <w:szCs w:val="28"/>
        </w:rPr>
      </w:pPr>
      <w:r>
        <w:rPr>
          <w:rFonts w:hint="eastAsia" w:ascii="Times New Roman" w:hAnsi="Times New Roman" w:eastAsia="宋体"/>
          <w:sz w:val="28"/>
          <w:szCs w:val="28"/>
        </w:rPr>
        <w:t>日   期：</w:t>
      </w:r>
      <w:r>
        <w:rPr>
          <w:rFonts w:hint="eastAsia" w:ascii="Times New Roman" w:hAnsi="Times New Roman" w:eastAsia="宋体"/>
          <w:sz w:val="28"/>
          <w:szCs w:val="28"/>
          <w:u w:val="single"/>
        </w:rPr>
        <w:t xml:space="preserve">               </w:t>
      </w:r>
      <w:r>
        <w:rPr>
          <w:rFonts w:hint="eastAsia" w:ascii="Times New Roman" w:hAnsi="Times New Roman" w:eastAsia="宋体"/>
          <w:color w:val="3366FF"/>
          <w:w w:val="90"/>
          <w:sz w:val="28"/>
          <w:szCs w:val="28"/>
        </w:rPr>
        <w:t xml:space="preserve">  </w:t>
      </w:r>
    </w:p>
    <w:p>
      <w:pPr>
        <w:widowControl w:val="0"/>
        <w:spacing w:before="0" w:after="0" w:line="600" w:lineRule="exact"/>
        <w:rPr>
          <w:rFonts w:ascii="宋体" w:hAnsi="宋体"/>
          <w:b/>
          <w:sz w:val="24"/>
          <w:szCs w:val="24"/>
        </w:rPr>
      </w:pPr>
    </w:p>
    <w:p>
      <w:pPr>
        <w:pStyle w:val="5"/>
        <w:rPr>
          <w:rFonts w:ascii="黑体" w:hAnsi="黑体"/>
          <w:b w:val="0"/>
        </w:rPr>
        <w:sectPr>
          <w:pgSz w:w="11906" w:h="16838"/>
          <w:pgMar w:top="1247" w:right="1247" w:bottom="1247" w:left="1304" w:header="851" w:footer="851" w:gutter="57"/>
          <w:cols w:space="720" w:num="1"/>
          <w:docGrid w:type="lines" w:linePitch="332" w:charSpace="-4916"/>
        </w:sectPr>
      </w:pPr>
      <w:bookmarkStart w:id="246" w:name="_Toc28042"/>
    </w:p>
    <w:p>
      <w:pPr>
        <w:pStyle w:val="79"/>
      </w:pPr>
      <w:r>
        <w:rPr>
          <w:rFonts w:hint="eastAsia"/>
        </w:rPr>
        <w:t>6</w:t>
      </w:r>
      <w:bookmarkEnd w:id="246"/>
      <w:r>
        <w:t xml:space="preserve">. </w:t>
      </w:r>
      <w:r>
        <w:rPr>
          <w:rFonts w:hint="eastAsia"/>
        </w:rPr>
        <w:t>项目管理机构组成表</w:t>
      </w:r>
    </w:p>
    <w:p>
      <w:pPr>
        <w:spacing w:before="0" w:after="0" w:line="240" w:lineRule="auto"/>
        <w:jc w:val="left"/>
        <w:rPr>
          <w:rFonts w:ascii="Times New Roman" w:hAnsi="Times New Roman" w:eastAsia="宋体"/>
          <w:bCs/>
        </w:rPr>
      </w:pPr>
      <w:bookmarkStart w:id="247" w:name="_Toc29473"/>
    </w:p>
    <w:p>
      <w:pPr>
        <w:spacing w:before="0" w:after="0" w:line="240" w:lineRule="auto"/>
        <w:jc w:val="left"/>
        <w:rPr>
          <w:rFonts w:ascii="Times New Roman" w:hAnsi="Times New Roman" w:eastAsia="宋体"/>
          <w:sz w:val="28"/>
          <w:szCs w:val="28"/>
        </w:rPr>
      </w:pPr>
      <w:r>
        <w:rPr>
          <w:rFonts w:ascii="Times New Roman" w:hAnsi="Times New Roman" w:eastAsia="宋体"/>
          <w:bCs/>
        </w:rPr>
        <w:br w:type="page"/>
      </w:r>
    </w:p>
    <w:p>
      <w:pPr>
        <w:pStyle w:val="79"/>
      </w:pPr>
      <w:r>
        <w:rPr>
          <w:rFonts w:hint="eastAsia"/>
        </w:rPr>
        <w:t>7</w:t>
      </w:r>
      <w:bookmarkEnd w:id="247"/>
      <w:r>
        <w:t xml:space="preserve">. </w:t>
      </w:r>
      <w:r>
        <w:rPr>
          <w:rFonts w:hint="eastAsia"/>
        </w:rPr>
        <w:t>投标人拟派主要人员及设备情况表</w:t>
      </w:r>
    </w:p>
    <w:p>
      <w:pPr>
        <w:spacing w:before="0" w:after="0" w:line="240" w:lineRule="auto"/>
        <w:jc w:val="left"/>
        <w:rPr>
          <w:rFonts w:ascii="Times New Roman" w:hAnsi="Times New Roman" w:eastAsia="宋体"/>
          <w:sz w:val="28"/>
          <w:szCs w:val="28"/>
        </w:rPr>
      </w:pPr>
      <w:r>
        <w:br w:type="page"/>
      </w:r>
    </w:p>
    <w:p>
      <w:pPr>
        <w:pStyle w:val="79"/>
      </w:pPr>
      <w:bookmarkStart w:id="248" w:name="_Toc2599"/>
      <w:r>
        <w:rPr>
          <w:rFonts w:hint="eastAsia"/>
        </w:rPr>
        <w:t>8</w:t>
      </w:r>
      <w:r>
        <w:t>.</w:t>
      </w:r>
      <w:r>
        <w:rPr>
          <w:rFonts w:hint="eastAsia"/>
        </w:rPr>
        <w:t xml:space="preserve"> 实施方案及总体计划</w:t>
      </w:r>
      <w:bookmarkEnd w:id="248"/>
    </w:p>
    <w:p>
      <w:pPr>
        <w:pStyle w:val="76"/>
        <w:ind w:firstLine="560"/>
      </w:pPr>
      <w:r>
        <w:rPr>
          <w:rFonts w:hint="eastAsia"/>
        </w:rPr>
        <w:t>（1）本合同工程具体的实施方案</w:t>
      </w:r>
    </w:p>
    <w:p>
      <w:pPr>
        <w:pStyle w:val="76"/>
        <w:ind w:firstLine="560"/>
      </w:pPr>
    </w:p>
    <w:p>
      <w:pPr>
        <w:pStyle w:val="76"/>
        <w:ind w:firstLine="560"/>
      </w:pPr>
      <w:r>
        <w:rPr>
          <w:rFonts w:hint="eastAsia"/>
        </w:rPr>
        <w:t>（2）本合同工程总体实施计划</w:t>
      </w:r>
    </w:p>
    <w:p>
      <w:pPr>
        <w:spacing w:before="0" w:after="0" w:line="240" w:lineRule="auto"/>
        <w:jc w:val="left"/>
        <w:rPr>
          <w:rFonts w:ascii="Times New Roman" w:hAnsi="Times New Roman" w:eastAsia="宋体"/>
          <w:sz w:val="28"/>
          <w:szCs w:val="28"/>
        </w:rPr>
      </w:pPr>
      <w:r>
        <w:rPr>
          <w:rFonts w:ascii="Times New Roman" w:hAnsi="Times New Roman" w:eastAsia="宋体"/>
          <w:sz w:val="28"/>
          <w:szCs w:val="28"/>
        </w:rPr>
        <w:br w:type="page"/>
      </w:r>
    </w:p>
    <w:p>
      <w:pPr>
        <w:pStyle w:val="79"/>
      </w:pPr>
      <w:bookmarkStart w:id="249" w:name="_Toc22762"/>
      <w:r>
        <w:rPr>
          <w:rFonts w:hint="eastAsia"/>
        </w:rPr>
        <w:t>9</w:t>
      </w:r>
      <w:bookmarkEnd w:id="249"/>
      <w:r>
        <w:t xml:space="preserve">. </w:t>
      </w:r>
      <w:r>
        <w:rPr>
          <w:rFonts w:hint="eastAsia"/>
        </w:rPr>
        <w:t>其他材料</w:t>
      </w:r>
    </w:p>
    <w:p>
      <w:pPr>
        <w:pStyle w:val="75"/>
      </w:pPr>
      <w:bookmarkStart w:id="250" w:name="_GoBack"/>
      <w:bookmarkEnd w:id="250"/>
    </w:p>
    <w:sectPr>
      <w:pgSz w:w="11906" w:h="16838"/>
      <w:pgMar w:top="1247" w:right="1247" w:bottom="1247" w:left="1304" w:header="851" w:footer="851" w:gutter="57"/>
      <w:cols w:space="720" w:num="1"/>
      <w:docGrid w:type="lines" w:linePitch="332"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auto"/>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0000000000000000000"/>
    <w:charset w:val="86"/>
    <w:family w:val="auto"/>
    <w:pitch w:val="default"/>
    <w:sig w:usb0="00000001" w:usb1="080E0000" w:usb2="00000010" w:usb3="00000000" w:csb0="0004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Adobe ｺﾚﾌ・Std R">
    <w:altName w:val="MS Gothic"/>
    <w:panose1 w:val="00000000000000000000"/>
    <w:charset w:val="80"/>
    <w:family w:val="auto"/>
    <w:pitch w:val="default"/>
    <w:sig w:usb0="00000000" w:usb1="00000000" w:usb2="00000010" w:usb3="00000000" w:csb0="00020000" w:csb1="00000000"/>
  </w:font>
  <w:font w:name="Times">
    <w:altName w:val="Times New Roman"/>
    <w:panose1 w:val="02020603050405020304"/>
    <w:charset w:val="00"/>
    <w:family w:val="auto"/>
    <w:pitch w:val="default"/>
    <w:sig w:usb0="E0002EFF" w:usb1="C000785B" w:usb2="00000009" w:usb3="00000000" w:csb0="000001FF" w:csb1="00000000"/>
  </w:font>
  <w:font w:name="time">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3"/>
      <w:framePr w:wrap="around" w:vAnchor="text" w:hAnchor="margin" w:xAlign="center" w:y="1"/>
      <w:rPr>
        <w:rStyle w:val="30"/>
      </w:rPr>
    </w:pPr>
    <w:r>
      <w:fldChar w:fldCharType="begin"/>
    </w:r>
    <w:r>
      <w:rPr>
        <w:rStyle w:val="30"/>
      </w:rPr>
      <w:instrText xml:space="preserve">PAGE  </w:instrText>
    </w:r>
    <w:r>
      <w:fldChar w:fldCharType="end"/>
    </w:r>
  </w:p>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3"/>
      <w:jc w:val="center"/>
      <w:rPr>
        <w:rFonts w:ascii="Arial" w:hAnsi="Arial" w:cs="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3"/>
      <w:jc w:val="center"/>
      <w:rPr>
        <w:rFonts w:ascii="Arial" w:hAnsi="Arial" w:cs="Arial"/>
        <w:sz w:val="20"/>
      </w:rPr>
    </w:pPr>
    <w:r>
      <w:rPr>
        <w:rFonts w:ascii="Calibri" w:hAnsi="Calibri" w:eastAsia="等线" w:cs="Times New Roman"/>
        <w:kern w:val="2"/>
        <w:sz w:val="20"/>
        <w:lang w:val="en-US" w:eastAsia="zh-CN" w:bidi="ar-SA"/>
      </w:rPr>
      <w:pict>
        <v:shape id="文本框 8" o:spid="_x0000_s1025" type="#_x0000_t202" style="position:absolute;left:0;margin-top:0pt;height:144pt;width:144pt;mso-position-horizontal:center;mso-position-horizontal-relative:margin;mso-wrap-style:non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r>
                  <w:rPr>
                    <w:rFonts w:hint="eastAsia"/>
                    <w:sz w:val="18"/>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604967664">
    <w:nsid w:val="240F12F0"/>
    <w:multiLevelType w:val="multilevel"/>
    <w:tmpl w:val="240F12F0"/>
    <w:lvl w:ilvl="0" w:tentative="1">
      <w:start w:val="1"/>
      <w:numFmt w:val="decimal"/>
      <w:lvlText w:val="（%1）"/>
      <w:lvlJc w:val="left"/>
      <w:pPr>
        <w:ind w:left="980" w:hanging="420"/>
      </w:pPr>
      <w:rPr>
        <w:rFonts w:hint="eastAsia" w:ascii="仿宋" w:eastAsia="仿宋"/>
        <w:b w:val="0"/>
        <w:i w:val="0"/>
        <w:sz w:val="24"/>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num w:numId="1">
    <w:abstractNumId w:val="6049676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trackRevisions w:val="1"/>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splitPgBreakAndParaMark/>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822C3E"/>
    <w:rsid w:val="00001E96"/>
    <w:rsid w:val="00003190"/>
    <w:rsid w:val="00003CB4"/>
    <w:rsid w:val="00013102"/>
    <w:rsid w:val="00013FFB"/>
    <w:rsid w:val="00014A92"/>
    <w:rsid w:val="00016436"/>
    <w:rsid w:val="000235AD"/>
    <w:rsid w:val="00024298"/>
    <w:rsid w:val="00025F07"/>
    <w:rsid w:val="00026A09"/>
    <w:rsid w:val="00026FA5"/>
    <w:rsid w:val="00030123"/>
    <w:rsid w:val="00030613"/>
    <w:rsid w:val="0003349D"/>
    <w:rsid w:val="000402B0"/>
    <w:rsid w:val="00041094"/>
    <w:rsid w:val="00042D77"/>
    <w:rsid w:val="00044867"/>
    <w:rsid w:val="00044E2C"/>
    <w:rsid w:val="00044F95"/>
    <w:rsid w:val="00051221"/>
    <w:rsid w:val="00051B86"/>
    <w:rsid w:val="00051D9E"/>
    <w:rsid w:val="000538A6"/>
    <w:rsid w:val="00054D14"/>
    <w:rsid w:val="00054F0F"/>
    <w:rsid w:val="000602D6"/>
    <w:rsid w:val="0006447D"/>
    <w:rsid w:val="00066AC9"/>
    <w:rsid w:val="0007006C"/>
    <w:rsid w:val="00070540"/>
    <w:rsid w:val="000721E3"/>
    <w:rsid w:val="00072B50"/>
    <w:rsid w:val="00072E21"/>
    <w:rsid w:val="00074676"/>
    <w:rsid w:val="00077568"/>
    <w:rsid w:val="00082C0C"/>
    <w:rsid w:val="00083372"/>
    <w:rsid w:val="000838BA"/>
    <w:rsid w:val="0008485E"/>
    <w:rsid w:val="0008782B"/>
    <w:rsid w:val="00094399"/>
    <w:rsid w:val="000954D1"/>
    <w:rsid w:val="00096BE4"/>
    <w:rsid w:val="0009770B"/>
    <w:rsid w:val="000979B7"/>
    <w:rsid w:val="000A1E22"/>
    <w:rsid w:val="000A377E"/>
    <w:rsid w:val="000A406E"/>
    <w:rsid w:val="000A4C4B"/>
    <w:rsid w:val="000A68ED"/>
    <w:rsid w:val="000A6FA8"/>
    <w:rsid w:val="000A7991"/>
    <w:rsid w:val="000B197B"/>
    <w:rsid w:val="000B24B4"/>
    <w:rsid w:val="000B5400"/>
    <w:rsid w:val="000B5539"/>
    <w:rsid w:val="000B55DF"/>
    <w:rsid w:val="000B680D"/>
    <w:rsid w:val="000B71FF"/>
    <w:rsid w:val="000B780F"/>
    <w:rsid w:val="000C084E"/>
    <w:rsid w:val="000C18E0"/>
    <w:rsid w:val="000C2289"/>
    <w:rsid w:val="000C3851"/>
    <w:rsid w:val="000C6AF0"/>
    <w:rsid w:val="000C75CB"/>
    <w:rsid w:val="000C7C69"/>
    <w:rsid w:val="000D1621"/>
    <w:rsid w:val="000D2C8E"/>
    <w:rsid w:val="000D2D86"/>
    <w:rsid w:val="000D6647"/>
    <w:rsid w:val="000D7DB4"/>
    <w:rsid w:val="000E0043"/>
    <w:rsid w:val="000E03D5"/>
    <w:rsid w:val="000E3538"/>
    <w:rsid w:val="000E3ABB"/>
    <w:rsid w:val="000E477B"/>
    <w:rsid w:val="000E4D9E"/>
    <w:rsid w:val="000E4DE2"/>
    <w:rsid w:val="000F4A90"/>
    <w:rsid w:val="000F6D29"/>
    <w:rsid w:val="001014BA"/>
    <w:rsid w:val="001030B6"/>
    <w:rsid w:val="00105861"/>
    <w:rsid w:val="001062AA"/>
    <w:rsid w:val="00106D49"/>
    <w:rsid w:val="0011236D"/>
    <w:rsid w:val="00113D07"/>
    <w:rsid w:val="00117795"/>
    <w:rsid w:val="00122644"/>
    <w:rsid w:val="001265EB"/>
    <w:rsid w:val="00126EA9"/>
    <w:rsid w:val="00127D09"/>
    <w:rsid w:val="00131E5B"/>
    <w:rsid w:val="00134DD3"/>
    <w:rsid w:val="00135EC5"/>
    <w:rsid w:val="0013608D"/>
    <w:rsid w:val="00137DE0"/>
    <w:rsid w:val="001430D2"/>
    <w:rsid w:val="00146AB5"/>
    <w:rsid w:val="00146BDA"/>
    <w:rsid w:val="0014740E"/>
    <w:rsid w:val="0015047F"/>
    <w:rsid w:val="001615A5"/>
    <w:rsid w:val="00164C63"/>
    <w:rsid w:val="00164EAF"/>
    <w:rsid w:val="001662E7"/>
    <w:rsid w:val="00166F48"/>
    <w:rsid w:val="00175096"/>
    <w:rsid w:val="00177368"/>
    <w:rsid w:val="00181C29"/>
    <w:rsid w:val="00182834"/>
    <w:rsid w:val="001854BA"/>
    <w:rsid w:val="0018638B"/>
    <w:rsid w:val="00187B8A"/>
    <w:rsid w:val="00192B1D"/>
    <w:rsid w:val="0019507E"/>
    <w:rsid w:val="00195487"/>
    <w:rsid w:val="00196B11"/>
    <w:rsid w:val="001A04AC"/>
    <w:rsid w:val="001A1922"/>
    <w:rsid w:val="001A5AC9"/>
    <w:rsid w:val="001A6D9F"/>
    <w:rsid w:val="001A7400"/>
    <w:rsid w:val="001B0DFA"/>
    <w:rsid w:val="001B19AE"/>
    <w:rsid w:val="001B1E8A"/>
    <w:rsid w:val="001B4766"/>
    <w:rsid w:val="001B497B"/>
    <w:rsid w:val="001B6C5E"/>
    <w:rsid w:val="001B7212"/>
    <w:rsid w:val="001C40B7"/>
    <w:rsid w:val="001C5D55"/>
    <w:rsid w:val="001C62DF"/>
    <w:rsid w:val="001C73AD"/>
    <w:rsid w:val="001D26CC"/>
    <w:rsid w:val="001D2DA3"/>
    <w:rsid w:val="001D32B0"/>
    <w:rsid w:val="001D5947"/>
    <w:rsid w:val="001D6421"/>
    <w:rsid w:val="001E1BC7"/>
    <w:rsid w:val="001E41B4"/>
    <w:rsid w:val="001E43C4"/>
    <w:rsid w:val="001E4BAC"/>
    <w:rsid w:val="001E7827"/>
    <w:rsid w:val="001F037A"/>
    <w:rsid w:val="001F2FB9"/>
    <w:rsid w:val="001F3913"/>
    <w:rsid w:val="001F712A"/>
    <w:rsid w:val="001F71A7"/>
    <w:rsid w:val="002015EE"/>
    <w:rsid w:val="00204C4F"/>
    <w:rsid w:val="00205703"/>
    <w:rsid w:val="0021214F"/>
    <w:rsid w:val="002138B0"/>
    <w:rsid w:val="00213E18"/>
    <w:rsid w:val="00215390"/>
    <w:rsid w:val="00216450"/>
    <w:rsid w:val="0021673B"/>
    <w:rsid w:val="00216AD4"/>
    <w:rsid w:val="00216CF1"/>
    <w:rsid w:val="002175D6"/>
    <w:rsid w:val="00221622"/>
    <w:rsid w:val="002218CF"/>
    <w:rsid w:val="002218D0"/>
    <w:rsid w:val="0022313D"/>
    <w:rsid w:val="002233F1"/>
    <w:rsid w:val="002235A3"/>
    <w:rsid w:val="00224BCD"/>
    <w:rsid w:val="00225150"/>
    <w:rsid w:val="00226B12"/>
    <w:rsid w:val="00227098"/>
    <w:rsid w:val="00227BAC"/>
    <w:rsid w:val="0023123F"/>
    <w:rsid w:val="00234B52"/>
    <w:rsid w:val="0023692E"/>
    <w:rsid w:val="0024238C"/>
    <w:rsid w:val="00250106"/>
    <w:rsid w:val="00250912"/>
    <w:rsid w:val="00250B29"/>
    <w:rsid w:val="00251C85"/>
    <w:rsid w:val="00252138"/>
    <w:rsid w:val="00254BFE"/>
    <w:rsid w:val="00255099"/>
    <w:rsid w:val="002551A5"/>
    <w:rsid w:val="00255A28"/>
    <w:rsid w:val="00256465"/>
    <w:rsid w:val="002579F2"/>
    <w:rsid w:val="00257A98"/>
    <w:rsid w:val="00261284"/>
    <w:rsid w:val="00261E0F"/>
    <w:rsid w:val="002622E4"/>
    <w:rsid w:val="00263575"/>
    <w:rsid w:val="00267D7B"/>
    <w:rsid w:val="00267EF5"/>
    <w:rsid w:val="002731B6"/>
    <w:rsid w:val="002736CF"/>
    <w:rsid w:val="00274893"/>
    <w:rsid w:val="00274BC8"/>
    <w:rsid w:val="00277355"/>
    <w:rsid w:val="0027742C"/>
    <w:rsid w:val="00277AD8"/>
    <w:rsid w:val="0028310B"/>
    <w:rsid w:val="00283674"/>
    <w:rsid w:val="002858AA"/>
    <w:rsid w:val="00291D9E"/>
    <w:rsid w:val="00291E17"/>
    <w:rsid w:val="00292F11"/>
    <w:rsid w:val="002937ED"/>
    <w:rsid w:val="002961B8"/>
    <w:rsid w:val="00296C5E"/>
    <w:rsid w:val="00297BF7"/>
    <w:rsid w:val="002A2980"/>
    <w:rsid w:val="002A6D93"/>
    <w:rsid w:val="002A7D1A"/>
    <w:rsid w:val="002B07A8"/>
    <w:rsid w:val="002B08CA"/>
    <w:rsid w:val="002B32C2"/>
    <w:rsid w:val="002B5B4E"/>
    <w:rsid w:val="002B7A1D"/>
    <w:rsid w:val="002C04EF"/>
    <w:rsid w:val="002C1B3C"/>
    <w:rsid w:val="002C28D2"/>
    <w:rsid w:val="002C36C0"/>
    <w:rsid w:val="002D040C"/>
    <w:rsid w:val="002D12A5"/>
    <w:rsid w:val="002D2916"/>
    <w:rsid w:val="002D3CBE"/>
    <w:rsid w:val="002D52B8"/>
    <w:rsid w:val="002D7EEC"/>
    <w:rsid w:val="002E402E"/>
    <w:rsid w:val="002E4F4C"/>
    <w:rsid w:val="002F1A88"/>
    <w:rsid w:val="002F3EFE"/>
    <w:rsid w:val="002F557D"/>
    <w:rsid w:val="002F6BA9"/>
    <w:rsid w:val="002F74AA"/>
    <w:rsid w:val="00300244"/>
    <w:rsid w:val="00302D7B"/>
    <w:rsid w:val="00303AAA"/>
    <w:rsid w:val="003042F1"/>
    <w:rsid w:val="003046AD"/>
    <w:rsid w:val="00304B20"/>
    <w:rsid w:val="00305E45"/>
    <w:rsid w:val="00306FC2"/>
    <w:rsid w:val="0031248C"/>
    <w:rsid w:val="003124F7"/>
    <w:rsid w:val="003125B2"/>
    <w:rsid w:val="003129BF"/>
    <w:rsid w:val="00313D34"/>
    <w:rsid w:val="00316173"/>
    <w:rsid w:val="00320771"/>
    <w:rsid w:val="00320C93"/>
    <w:rsid w:val="0032100D"/>
    <w:rsid w:val="00321419"/>
    <w:rsid w:val="00321FD3"/>
    <w:rsid w:val="00323366"/>
    <w:rsid w:val="00331497"/>
    <w:rsid w:val="00331930"/>
    <w:rsid w:val="00331B43"/>
    <w:rsid w:val="00331F9F"/>
    <w:rsid w:val="00332B59"/>
    <w:rsid w:val="00332DFC"/>
    <w:rsid w:val="003347D3"/>
    <w:rsid w:val="00335111"/>
    <w:rsid w:val="00335B5D"/>
    <w:rsid w:val="00336500"/>
    <w:rsid w:val="00344E80"/>
    <w:rsid w:val="00346915"/>
    <w:rsid w:val="00350A93"/>
    <w:rsid w:val="00352E09"/>
    <w:rsid w:val="00354A30"/>
    <w:rsid w:val="00355431"/>
    <w:rsid w:val="00355C38"/>
    <w:rsid w:val="0035600F"/>
    <w:rsid w:val="00356698"/>
    <w:rsid w:val="0036055E"/>
    <w:rsid w:val="00361087"/>
    <w:rsid w:val="003618DD"/>
    <w:rsid w:val="003619FD"/>
    <w:rsid w:val="00361DFA"/>
    <w:rsid w:val="00362997"/>
    <w:rsid w:val="00362FCF"/>
    <w:rsid w:val="00363CD0"/>
    <w:rsid w:val="00367290"/>
    <w:rsid w:val="0037233B"/>
    <w:rsid w:val="003732BC"/>
    <w:rsid w:val="00375883"/>
    <w:rsid w:val="00377047"/>
    <w:rsid w:val="00380355"/>
    <w:rsid w:val="0038178C"/>
    <w:rsid w:val="00383C94"/>
    <w:rsid w:val="00384736"/>
    <w:rsid w:val="0038549E"/>
    <w:rsid w:val="00385A13"/>
    <w:rsid w:val="00392996"/>
    <w:rsid w:val="00393E72"/>
    <w:rsid w:val="003961E7"/>
    <w:rsid w:val="003A0AD0"/>
    <w:rsid w:val="003A1DD4"/>
    <w:rsid w:val="003A1E61"/>
    <w:rsid w:val="003A5948"/>
    <w:rsid w:val="003B2C15"/>
    <w:rsid w:val="003B3A9D"/>
    <w:rsid w:val="003B6B28"/>
    <w:rsid w:val="003B7570"/>
    <w:rsid w:val="003B7841"/>
    <w:rsid w:val="003C071C"/>
    <w:rsid w:val="003C1EF5"/>
    <w:rsid w:val="003C27FD"/>
    <w:rsid w:val="003C2E98"/>
    <w:rsid w:val="003C34AD"/>
    <w:rsid w:val="003C5836"/>
    <w:rsid w:val="003C5A4E"/>
    <w:rsid w:val="003C5F72"/>
    <w:rsid w:val="003D03D4"/>
    <w:rsid w:val="003D05EA"/>
    <w:rsid w:val="003D10C2"/>
    <w:rsid w:val="003D28A9"/>
    <w:rsid w:val="003D5CE4"/>
    <w:rsid w:val="003D718E"/>
    <w:rsid w:val="003E1215"/>
    <w:rsid w:val="003E31BB"/>
    <w:rsid w:val="003E4ED5"/>
    <w:rsid w:val="003E53FD"/>
    <w:rsid w:val="003E5AA9"/>
    <w:rsid w:val="003E62F8"/>
    <w:rsid w:val="003E6ACB"/>
    <w:rsid w:val="003E7EBF"/>
    <w:rsid w:val="003F2ED5"/>
    <w:rsid w:val="003F33DB"/>
    <w:rsid w:val="003F3E0C"/>
    <w:rsid w:val="003F44C8"/>
    <w:rsid w:val="003F78AA"/>
    <w:rsid w:val="00400DC9"/>
    <w:rsid w:val="00403F52"/>
    <w:rsid w:val="00404236"/>
    <w:rsid w:val="0040746B"/>
    <w:rsid w:val="00407615"/>
    <w:rsid w:val="00411CCE"/>
    <w:rsid w:val="00412ED7"/>
    <w:rsid w:val="00415D77"/>
    <w:rsid w:val="0041696E"/>
    <w:rsid w:val="004173C3"/>
    <w:rsid w:val="00421576"/>
    <w:rsid w:val="00423193"/>
    <w:rsid w:val="00424CDF"/>
    <w:rsid w:val="00426296"/>
    <w:rsid w:val="00426379"/>
    <w:rsid w:val="00426A4A"/>
    <w:rsid w:val="00433741"/>
    <w:rsid w:val="00433EAA"/>
    <w:rsid w:val="00435725"/>
    <w:rsid w:val="00436B6D"/>
    <w:rsid w:val="00437B9E"/>
    <w:rsid w:val="0044237D"/>
    <w:rsid w:val="0044535F"/>
    <w:rsid w:val="00445C9C"/>
    <w:rsid w:val="00451C0F"/>
    <w:rsid w:val="004542C8"/>
    <w:rsid w:val="00457F2F"/>
    <w:rsid w:val="00461543"/>
    <w:rsid w:val="00462BDE"/>
    <w:rsid w:val="00464791"/>
    <w:rsid w:val="0046496E"/>
    <w:rsid w:val="00464A63"/>
    <w:rsid w:val="00464AE6"/>
    <w:rsid w:val="00472658"/>
    <w:rsid w:val="00475289"/>
    <w:rsid w:val="00476588"/>
    <w:rsid w:val="00477C1E"/>
    <w:rsid w:val="0048072A"/>
    <w:rsid w:val="0048175E"/>
    <w:rsid w:val="00485DB4"/>
    <w:rsid w:val="00486E8C"/>
    <w:rsid w:val="00492474"/>
    <w:rsid w:val="00492537"/>
    <w:rsid w:val="00492CA4"/>
    <w:rsid w:val="00494CC7"/>
    <w:rsid w:val="004A216C"/>
    <w:rsid w:val="004A3C58"/>
    <w:rsid w:val="004A41EB"/>
    <w:rsid w:val="004A6ED9"/>
    <w:rsid w:val="004A72C6"/>
    <w:rsid w:val="004A7ADF"/>
    <w:rsid w:val="004B09A2"/>
    <w:rsid w:val="004B1447"/>
    <w:rsid w:val="004B22BD"/>
    <w:rsid w:val="004B2639"/>
    <w:rsid w:val="004B448A"/>
    <w:rsid w:val="004B5161"/>
    <w:rsid w:val="004B5EDF"/>
    <w:rsid w:val="004B62C4"/>
    <w:rsid w:val="004C2854"/>
    <w:rsid w:val="004C4047"/>
    <w:rsid w:val="004C4126"/>
    <w:rsid w:val="004C4868"/>
    <w:rsid w:val="004C6BA3"/>
    <w:rsid w:val="004D0A8D"/>
    <w:rsid w:val="004D1689"/>
    <w:rsid w:val="004D5D12"/>
    <w:rsid w:val="004D6E72"/>
    <w:rsid w:val="004E085F"/>
    <w:rsid w:val="004E0CD2"/>
    <w:rsid w:val="004E1E8D"/>
    <w:rsid w:val="004E20E9"/>
    <w:rsid w:val="004E33E0"/>
    <w:rsid w:val="004E35B2"/>
    <w:rsid w:val="004E36CB"/>
    <w:rsid w:val="004E3C68"/>
    <w:rsid w:val="004E4077"/>
    <w:rsid w:val="004E55B5"/>
    <w:rsid w:val="004F0327"/>
    <w:rsid w:val="004F4673"/>
    <w:rsid w:val="004F523B"/>
    <w:rsid w:val="004F58DD"/>
    <w:rsid w:val="00500B60"/>
    <w:rsid w:val="00501F22"/>
    <w:rsid w:val="005020DE"/>
    <w:rsid w:val="005034E2"/>
    <w:rsid w:val="00503FD5"/>
    <w:rsid w:val="005040CC"/>
    <w:rsid w:val="00504E57"/>
    <w:rsid w:val="0050781B"/>
    <w:rsid w:val="0051114C"/>
    <w:rsid w:val="00511AA2"/>
    <w:rsid w:val="00513D42"/>
    <w:rsid w:val="00515D6F"/>
    <w:rsid w:val="0051669B"/>
    <w:rsid w:val="00517098"/>
    <w:rsid w:val="0052293E"/>
    <w:rsid w:val="00523C0C"/>
    <w:rsid w:val="00524825"/>
    <w:rsid w:val="00524CC7"/>
    <w:rsid w:val="00525581"/>
    <w:rsid w:val="00525B82"/>
    <w:rsid w:val="00526D4A"/>
    <w:rsid w:val="00526F1B"/>
    <w:rsid w:val="005307A7"/>
    <w:rsid w:val="00532049"/>
    <w:rsid w:val="005338E3"/>
    <w:rsid w:val="00533A0E"/>
    <w:rsid w:val="0053426E"/>
    <w:rsid w:val="005343FA"/>
    <w:rsid w:val="005356F4"/>
    <w:rsid w:val="00535799"/>
    <w:rsid w:val="00537590"/>
    <w:rsid w:val="00541607"/>
    <w:rsid w:val="00541B7F"/>
    <w:rsid w:val="00543542"/>
    <w:rsid w:val="00543A8D"/>
    <w:rsid w:val="005508BA"/>
    <w:rsid w:val="00551618"/>
    <w:rsid w:val="005535F1"/>
    <w:rsid w:val="00554CB7"/>
    <w:rsid w:val="00555AA3"/>
    <w:rsid w:val="00557334"/>
    <w:rsid w:val="005627D0"/>
    <w:rsid w:val="00562DFD"/>
    <w:rsid w:val="0056608A"/>
    <w:rsid w:val="00570EF2"/>
    <w:rsid w:val="0057642A"/>
    <w:rsid w:val="005813F0"/>
    <w:rsid w:val="00581545"/>
    <w:rsid w:val="0058423F"/>
    <w:rsid w:val="0058698C"/>
    <w:rsid w:val="005906D4"/>
    <w:rsid w:val="00590E21"/>
    <w:rsid w:val="00590FAD"/>
    <w:rsid w:val="00591C1C"/>
    <w:rsid w:val="005920DD"/>
    <w:rsid w:val="005923F0"/>
    <w:rsid w:val="00592637"/>
    <w:rsid w:val="005932E5"/>
    <w:rsid w:val="0059356B"/>
    <w:rsid w:val="00594F61"/>
    <w:rsid w:val="00595300"/>
    <w:rsid w:val="0059573A"/>
    <w:rsid w:val="005977A9"/>
    <w:rsid w:val="00597ED9"/>
    <w:rsid w:val="005A02F9"/>
    <w:rsid w:val="005A1251"/>
    <w:rsid w:val="005A32CC"/>
    <w:rsid w:val="005A4E6E"/>
    <w:rsid w:val="005A5A7B"/>
    <w:rsid w:val="005B059E"/>
    <w:rsid w:val="005B0C80"/>
    <w:rsid w:val="005B20DA"/>
    <w:rsid w:val="005C006D"/>
    <w:rsid w:val="005C0ECF"/>
    <w:rsid w:val="005C2271"/>
    <w:rsid w:val="005C380D"/>
    <w:rsid w:val="005C3CC4"/>
    <w:rsid w:val="005C46E5"/>
    <w:rsid w:val="005C4B33"/>
    <w:rsid w:val="005C6216"/>
    <w:rsid w:val="005D0F37"/>
    <w:rsid w:val="005D2957"/>
    <w:rsid w:val="005D5975"/>
    <w:rsid w:val="005E0AAC"/>
    <w:rsid w:val="005E1B4E"/>
    <w:rsid w:val="005E3AAA"/>
    <w:rsid w:val="005E61B3"/>
    <w:rsid w:val="005E6C77"/>
    <w:rsid w:val="005E7021"/>
    <w:rsid w:val="005E7B62"/>
    <w:rsid w:val="005E7BBA"/>
    <w:rsid w:val="005E7EB7"/>
    <w:rsid w:val="005E7ED6"/>
    <w:rsid w:val="005F1F3C"/>
    <w:rsid w:val="005F2403"/>
    <w:rsid w:val="005F3823"/>
    <w:rsid w:val="005F6CBC"/>
    <w:rsid w:val="005F79C9"/>
    <w:rsid w:val="00604D59"/>
    <w:rsid w:val="0061245C"/>
    <w:rsid w:val="00613603"/>
    <w:rsid w:val="00614C97"/>
    <w:rsid w:val="00615593"/>
    <w:rsid w:val="0061637B"/>
    <w:rsid w:val="00616545"/>
    <w:rsid w:val="00617498"/>
    <w:rsid w:val="006174A6"/>
    <w:rsid w:val="00625482"/>
    <w:rsid w:val="0062569D"/>
    <w:rsid w:val="00626A9E"/>
    <w:rsid w:val="00630A5E"/>
    <w:rsid w:val="0063397B"/>
    <w:rsid w:val="00633F1D"/>
    <w:rsid w:val="0063443F"/>
    <w:rsid w:val="00634E49"/>
    <w:rsid w:val="00640E1C"/>
    <w:rsid w:val="00641015"/>
    <w:rsid w:val="00641CB0"/>
    <w:rsid w:val="00644B7D"/>
    <w:rsid w:val="00645C49"/>
    <w:rsid w:val="00645C4C"/>
    <w:rsid w:val="006510EE"/>
    <w:rsid w:val="00652D8F"/>
    <w:rsid w:val="00653652"/>
    <w:rsid w:val="006626A1"/>
    <w:rsid w:val="00664493"/>
    <w:rsid w:val="006669EC"/>
    <w:rsid w:val="0066791A"/>
    <w:rsid w:val="00667DE6"/>
    <w:rsid w:val="00670139"/>
    <w:rsid w:val="00671922"/>
    <w:rsid w:val="00674B30"/>
    <w:rsid w:val="00676A43"/>
    <w:rsid w:val="00680F2E"/>
    <w:rsid w:val="0068219C"/>
    <w:rsid w:val="00682E57"/>
    <w:rsid w:val="00683030"/>
    <w:rsid w:val="0068528E"/>
    <w:rsid w:val="00685D87"/>
    <w:rsid w:val="006876AE"/>
    <w:rsid w:val="00690D09"/>
    <w:rsid w:val="00691FBA"/>
    <w:rsid w:val="00695599"/>
    <w:rsid w:val="00696585"/>
    <w:rsid w:val="006A0CE2"/>
    <w:rsid w:val="006A0CF9"/>
    <w:rsid w:val="006A1F6B"/>
    <w:rsid w:val="006A3158"/>
    <w:rsid w:val="006A3834"/>
    <w:rsid w:val="006A392F"/>
    <w:rsid w:val="006A3CD8"/>
    <w:rsid w:val="006A6329"/>
    <w:rsid w:val="006B0210"/>
    <w:rsid w:val="006B1308"/>
    <w:rsid w:val="006C0708"/>
    <w:rsid w:val="006C11CB"/>
    <w:rsid w:val="006C1BF4"/>
    <w:rsid w:val="006C1FD6"/>
    <w:rsid w:val="006C47A1"/>
    <w:rsid w:val="006D17AE"/>
    <w:rsid w:val="006D373B"/>
    <w:rsid w:val="006D7793"/>
    <w:rsid w:val="006E24EA"/>
    <w:rsid w:val="006E2AD4"/>
    <w:rsid w:val="006E3D17"/>
    <w:rsid w:val="006E5646"/>
    <w:rsid w:val="006F1DE2"/>
    <w:rsid w:val="006F2B33"/>
    <w:rsid w:val="006F2EB2"/>
    <w:rsid w:val="006F5C2B"/>
    <w:rsid w:val="006F7C67"/>
    <w:rsid w:val="0071033B"/>
    <w:rsid w:val="0071182F"/>
    <w:rsid w:val="00716968"/>
    <w:rsid w:val="0071741B"/>
    <w:rsid w:val="00722204"/>
    <w:rsid w:val="00724F1B"/>
    <w:rsid w:val="0073032E"/>
    <w:rsid w:val="00730A4D"/>
    <w:rsid w:val="007347CB"/>
    <w:rsid w:val="0073567D"/>
    <w:rsid w:val="007369CC"/>
    <w:rsid w:val="007375F6"/>
    <w:rsid w:val="0074239E"/>
    <w:rsid w:val="00743C97"/>
    <w:rsid w:val="007444B4"/>
    <w:rsid w:val="007470C2"/>
    <w:rsid w:val="00747173"/>
    <w:rsid w:val="00747E28"/>
    <w:rsid w:val="00750B5B"/>
    <w:rsid w:val="0075240D"/>
    <w:rsid w:val="00752F80"/>
    <w:rsid w:val="0075330B"/>
    <w:rsid w:val="0075401B"/>
    <w:rsid w:val="007567CC"/>
    <w:rsid w:val="007622FA"/>
    <w:rsid w:val="0076419D"/>
    <w:rsid w:val="007653F3"/>
    <w:rsid w:val="00766423"/>
    <w:rsid w:val="00767341"/>
    <w:rsid w:val="00770949"/>
    <w:rsid w:val="00772681"/>
    <w:rsid w:val="00774B0C"/>
    <w:rsid w:val="00775D15"/>
    <w:rsid w:val="0078275A"/>
    <w:rsid w:val="00782CB3"/>
    <w:rsid w:val="00783283"/>
    <w:rsid w:val="007842D7"/>
    <w:rsid w:val="00784C4B"/>
    <w:rsid w:val="0078511F"/>
    <w:rsid w:val="00790B7A"/>
    <w:rsid w:val="00793802"/>
    <w:rsid w:val="007941AF"/>
    <w:rsid w:val="00796B4F"/>
    <w:rsid w:val="007A79A7"/>
    <w:rsid w:val="007B2440"/>
    <w:rsid w:val="007B2DAF"/>
    <w:rsid w:val="007B2F16"/>
    <w:rsid w:val="007B61C0"/>
    <w:rsid w:val="007B69F6"/>
    <w:rsid w:val="007C0575"/>
    <w:rsid w:val="007C1150"/>
    <w:rsid w:val="007C1767"/>
    <w:rsid w:val="007C1D89"/>
    <w:rsid w:val="007C4B3B"/>
    <w:rsid w:val="007C54A0"/>
    <w:rsid w:val="007C5BC8"/>
    <w:rsid w:val="007C6054"/>
    <w:rsid w:val="007C635F"/>
    <w:rsid w:val="007C66EA"/>
    <w:rsid w:val="007E3687"/>
    <w:rsid w:val="007E3A80"/>
    <w:rsid w:val="007E4E33"/>
    <w:rsid w:val="007F045B"/>
    <w:rsid w:val="007F0601"/>
    <w:rsid w:val="007F344B"/>
    <w:rsid w:val="007F4EE0"/>
    <w:rsid w:val="007F644C"/>
    <w:rsid w:val="007F6D14"/>
    <w:rsid w:val="0080055B"/>
    <w:rsid w:val="008024B0"/>
    <w:rsid w:val="008027AB"/>
    <w:rsid w:val="00804827"/>
    <w:rsid w:val="00805F37"/>
    <w:rsid w:val="008070AE"/>
    <w:rsid w:val="00807C04"/>
    <w:rsid w:val="00810AD0"/>
    <w:rsid w:val="00811CB1"/>
    <w:rsid w:val="00813F80"/>
    <w:rsid w:val="00816CF8"/>
    <w:rsid w:val="00817E13"/>
    <w:rsid w:val="00822C3E"/>
    <w:rsid w:val="00822D3C"/>
    <w:rsid w:val="00827EC1"/>
    <w:rsid w:val="00835177"/>
    <w:rsid w:val="00837E4E"/>
    <w:rsid w:val="00844218"/>
    <w:rsid w:val="00847534"/>
    <w:rsid w:val="00850237"/>
    <w:rsid w:val="0085089F"/>
    <w:rsid w:val="00851B61"/>
    <w:rsid w:val="00851FBE"/>
    <w:rsid w:val="00852A6F"/>
    <w:rsid w:val="008537E6"/>
    <w:rsid w:val="00855F42"/>
    <w:rsid w:val="008564AC"/>
    <w:rsid w:val="008566D9"/>
    <w:rsid w:val="00860395"/>
    <w:rsid w:val="00860BAB"/>
    <w:rsid w:val="00863F59"/>
    <w:rsid w:val="00865783"/>
    <w:rsid w:val="00866262"/>
    <w:rsid w:val="00866481"/>
    <w:rsid w:val="00870663"/>
    <w:rsid w:val="00870BBF"/>
    <w:rsid w:val="0087196C"/>
    <w:rsid w:val="00875781"/>
    <w:rsid w:val="00880ABC"/>
    <w:rsid w:val="0088786C"/>
    <w:rsid w:val="008900E9"/>
    <w:rsid w:val="00890E57"/>
    <w:rsid w:val="00890FAB"/>
    <w:rsid w:val="00891443"/>
    <w:rsid w:val="00893D2E"/>
    <w:rsid w:val="008943F5"/>
    <w:rsid w:val="0089466B"/>
    <w:rsid w:val="008965C5"/>
    <w:rsid w:val="008A06C3"/>
    <w:rsid w:val="008A4877"/>
    <w:rsid w:val="008A5F4B"/>
    <w:rsid w:val="008B2024"/>
    <w:rsid w:val="008B3260"/>
    <w:rsid w:val="008B53C6"/>
    <w:rsid w:val="008C085E"/>
    <w:rsid w:val="008C10B2"/>
    <w:rsid w:val="008C2131"/>
    <w:rsid w:val="008C2F96"/>
    <w:rsid w:val="008C458D"/>
    <w:rsid w:val="008C475C"/>
    <w:rsid w:val="008C577F"/>
    <w:rsid w:val="008C7444"/>
    <w:rsid w:val="008C76CB"/>
    <w:rsid w:val="008C77A3"/>
    <w:rsid w:val="008D05F0"/>
    <w:rsid w:val="008D3CED"/>
    <w:rsid w:val="008D48FD"/>
    <w:rsid w:val="008D4C72"/>
    <w:rsid w:val="008D5DEC"/>
    <w:rsid w:val="008D6EBE"/>
    <w:rsid w:val="008E0543"/>
    <w:rsid w:val="008E13C3"/>
    <w:rsid w:val="008E1938"/>
    <w:rsid w:val="008E2D70"/>
    <w:rsid w:val="008F0D27"/>
    <w:rsid w:val="008F5FA7"/>
    <w:rsid w:val="008F7032"/>
    <w:rsid w:val="008F704D"/>
    <w:rsid w:val="008F7502"/>
    <w:rsid w:val="008F7D30"/>
    <w:rsid w:val="00903912"/>
    <w:rsid w:val="009045B7"/>
    <w:rsid w:val="0090772D"/>
    <w:rsid w:val="009123E6"/>
    <w:rsid w:val="00912DC0"/>
    <w:rsid w:val="00912EBF"/>
    <w:rsid w:val="00913494"/>
    <w:rsid w:val="00916054"/>
    <w:rsid w:val="0091696E"/>
    <w:rsid w:val="00921452"/>
    <w:rsid w:val="00922F6B"/>
    <w:rsid w:val="00923FBF"/>
    <w:rsid w:val="009262C1"/>
    <w:rsid w:val="00926972"/>
    <w:rsid w:val="0093228B"/>
    <w:rsid w:val="0093372D"/>
    <w:rsid w:val="009405D9"/>
    <w:rsid w:val="00942501"/>
    <w:rsid w:val="00944671"/>
    <w:rsid w:val="00947B19"/>
    <w:rsid w:val="00947D6A"/>
    <w:rsid w:val="009516EB"/>
    <w:rsid w:val="00954254"/>
    <w:rsid w:val="009544CD"/>
    <w:rsid w:val="009544CE"/>
    <w:rsid w:val="00954765"/>
    <w:rsid w:val="009555E1"/>
    <w:rsid w:val="009556C4"/>
    <w:rsid w:val="00955A9B"/>
    <w:rsid w:val="009567D1"/>
    <w:rsid w:val="009601C8"/>
    <w:rsid w:val="009619DE"/>
    <w:rsid w:val="00962815"/>
    <w:rsid w:val="00964806"/>
    <w:rsid w:val="00966395"/>
    <w:rsid w:val="00966564"/>
    <w:rsid w:val="00966C75"/>
    <w:rsid w:val="00967C83"/>
    <w:rsid w:val="00967F45"/>
    <w:rsid w:val="00970586"/>
    <w:rsid w:val="0097571E"/>
    <w:rsid w:val="00976270"/>
    <w:rsid w:val="00976717"/>
    <w:rsid w:val="00977BAB"/>
    <w:rsid w:val="00981EB6"/>
    <w:rsid w:val="00984B2B"/>
    <w:rsid w:val="00985DD3"/>
    <w:rsid w:val="00990E77"/>
    <w:rsid w:val="00990FEE"/>
    <w:rsid w:val="00990FFE"/>
    <w:rsid w:val="00993011"/>
    <w:rsid w:val="00993FE7"/>
    <w:rsid w:val="00995ABE"/>
    <w:rsid w:val="00995C78"/>
    <w:rsid w:val="00996937"/>
    <w:rsid w:val="009A409E"/>
    <w:rsid w:val="009A4E0E"/>
    <w:rsid w:val="009B1AC1"/>
    <w:rsid w:val="009B1AFC"/>
    <w:rsid w:val="009B6737"/>
    <w:rsid w:val="009B72BB"/>
    <w:rsid w:val="009C0858"/>
    <w:rsid w:val="009C0996"/>
    <w:rsid w:val="009C1181"/>
    <w:rsid w:val="009C30FF"/>
    <w:rsid w:val="009C3BA6"/>
    <w:rsid w:val="009C4B40"/>
    <w:rsid w:val="009C4D4D"/>
    <w:rsid w:val="009C68C1"/>
    <w:rsid w:val="009C6955"/>
    <w:rsid w:val="009C698F"/>
    <w:rsid w:val="009D6102"/>
    <w:rsid w:val="009E08A5"/>
    <w:rsid w:val="009E13B2"/>
    <w:rsid w:val="009E2ADE"/>
    <w:rsid w:val="009E37B6"/>
    <w:rsid w:val="009E4142"/>
    <w:rsid w:val="009E730D"/>
    <w:rsid w:val="009F15AC"/>
    <w:rsid w:val="009F3E7B"/>
    <w:rsid w:val="009F4D6F"/>
    <w:rsid w:val="009F550B"/>
    <w:rsid w:val="009F6A38"/>
    <w:rsid w:val="00A07B3E"/>
    <w:rsid w:val="00A07B79"/>
    <w:rsid w:val="00A10EE7"/>
    <w:rsid w:val="00A10F82"/>
    <w:rsid w:val="00A12E4A"/>
    <w:rsid w:val="00A14129"/>
    <w:rsid w:val="00A15170"/>
    <w:rsid w:val="00A153B3"/>
    <w:rsid w:val="00A1736E"/>
    <w:rsid w:val="00A17B83"/>
    <w:rsid w:val="00A17CE1"/>
    <w:rsid w:val="00A20409"/>
    <w:rsid w:val="00A20D1F"/>
    <w:rsid w:val="00A21F71"/>
    <w:rsid w:val="00A25306"/>
    <w:rsid w:val="00A2683C"/>
    <w:rsid w:val="00A30478"/>
    <w:rsid w:val="00A3752A"/>
    <w:rsid w:val="00A409C8"/>
    <w:rsid w:val="00A40E6C"/>
    <w:rsid w:val="00A4115A"/>
    <w:rsid w:val="00A43714"/>
    <w:rsid w:val="00A51E2D"/>
    <w:rsid w:val="00A52894"/>
    <w:rsid w:val="00A549B9"/>
    <w:rsid w:val="00A54D24"/>
    <w:rsid w:val="00A62B19"/>
    <w:rsid w:val="00A6305A"/>
    <w:rsid w:val="00A646CC"/>
    <w:rsid w:val="00A6493A"/>
    <w:rsid w:val="00A73E89"/>
    <w:rsid w:val="00A74A1C"/>
    <w:rsid w:val="00A76C86"/>
    <w:rsid w:val="00A80301"/>
    <w:rsid w:val="00A81376"/>
    <w:rsid w:val="00A81F84"/>
    <w:rsid w:val="00A84ED8"/>
    <w:rsid w:val="00A859FB"/>
    <w:rsid w:val="00A868D8"/>
    <w:rsid w:val="00A8761E"/>
    <w:rsid w:val="00A9156F"/>
    <w:rsid w:val="00A93D37"/>
    <w:rsid w:val="00A94ADA"/>
    <w:rsid w:val="00A971B8"/>
    <w:rsid w:val="00AA3264"/>
    <w:rsid w:val="00AA4D5C"/>
    <w:rsid w:val="00AB0E49"/>
    <w:rsid w:val="00AB31C0"/>
    <w:rsid w:val="00AB3E11"/>
    <w:rsid w:val="00AC185B"/>
    <w:rsid w:val="00AC33AE"/>
    <w:rsid w:val="00AC4678"/>
    <w:rsid w:val="00AC5A9E"/>
    <w:rsid w:val="00AC7745"/>
    <w:rsid w:val="00AC7D79"/>
    <w:rsid w:val="00AC7D80"/>
    <w:rsid w:val="00AD03EF"/>
    <w:rsid w:val="00AD0D24"/>
    <w:rsid w:val="00AD1005"/>
    <w:rsid w:val="00AD203F"/>
    <w:rsid w:val="00AD36A2"/>
    <w:rsid w:val="00AD4863"/>
    <w:rsid w:val="00AD6CE9"/>
    <w:rsid w:val="00AD757E"/>
    <w:rsid w:val="00AD7B07"/>
    <w:rsid w:val="00AD7FD4"/>
    <w:rsid w:val="00AE170A"/>
    <w:rsid w:val="00AE264F"/>
    <w:rsid w:val="00AE7102"/>
    <w:rsid w:val="00AF1098"/>
    <w:rsid w:val="00AF178C"/>
    <w:rsid w:val="00AF53DB"/>
    <w:rsid w:val="00AF5A98"/>
    <w:rsid w:val="00AF755A"/>
    <w:rsid w:val="00B011EC"/>
    <w:rsid w:val="00B05BB0"/>
    <w:rsid w:val="00B06513"/>
    <w:rsid w:val="00B10343"/>
    <w:rsid w:val="00B11A8D"/>
    <w:rsid w:val="00B11D13"/>
    <w:rsid w:val="00B14923"/>
    <w:rsid w:val="00B154A5"/>
    <w:rsid w:val="00B174A8"/>
    <w:rsid w:val="00B20EC8"/>
    <w:rsid w:val="00B2446D"/>
    <w:rsid w:val="00B25074"/>
    <w:rsid w:val="00B2745A"/>
    <w:rsid w:val="00B27E48"/>
    <w:rsid w:val="00B32171"/>
    <w:rsid w:val="00B34BE8"/>
    <w:rsid w:val="00B34CC1"/>
    <w:rsid w:val="00B353DB"/>
    <w:rsid w:val="00B35C59"/>
    <w:rsid w:val="00B424A6"/>
    <w:rsid w:val="00B52647"/>
    <w:rsid w:val="00B53158"/>
    <w:rsid w:val="00B54055"/>
    <w:rsid w:val="00B608B0"/>
    <w:rsid w:val="00B653A4"/>
    <w:rsid w:val="00B666A2"/>
    <w:rsid w:val="00B70EF2"/>
    <w:rsid w:val="00B72EBB"/>
    <w:rsid w:val="00B7471E"/>
    <w:rsid w:val="00B77B18"/>
    <w:rsid w:val="00B81F6E"/>
    <w:rsid w:val="00B82A8C"/>
    <w:rsid w:val="00B83F87"/>
    <w:rsid w:val="00B86A9F"/>
    <w:rsid w:val="00B87A65"/>
    <w:rsid w:val="00B91AFD"/>
    <w:rsid w:val="00B926EA"/>
    <w:rsid w:val="00B93BB9"/>
    <w:rsid w:val="00B941D4"/>
    <w:rsid w:val="00B94534"/>
    <w:rsid w:val="00B95DD0"/>
    <w:rsid w:val="00B96E83"/>
    <w:rsid w:val="00BA0E83"/>
    <w:rsid w:val="00BA2A9D"/>
    <w:rsid w:val="00BB2B64"/>
    <w:rsid w:val="00BB2E4E"/>
    <w:rsid w:val="00BB4DCD"/>
    <w:rsid w:val="00BB603D"/>
    <w:rsid w:val="00BB68E3"/>
    <w:rsid w:val="00BB716F"/>
    <w:rsid w:val="00BC20E7"/>
    <w:rsid w:val="00BC38C4"/>
    <w:rsid w:val="00BD08E1"/>
    <w:rsid w:val="00BD2D82"/>
    <w:rsid w:val="00BD30A7"/>
    <w:rsid w:val="00BD4D97"/>
    <w:rsid w:val="00BD5BB0"/>
    <w:rsid w:val="00BD5D07"/>
    <w:rsid w:val="00BD6F9E"/>
    <w:rsid w:val="00BD73D4"/>
    <w:rsid w:val="00BD7EC0"/>
    <w:rsid w:val="00BE064B"/>
    <w:rsid w:val="00BE1F4B"/>
    <w:rsid w:val="00BE3128"/>
    <w:rsid w:val="00BE4E64"/>
    <w:rsid w:val="00BE53E3"/>
    <w:rsid w:val="00BE6F61"/>
    <w:rsid w:val="00BE723C"/>
    <w:rsid w:val="00BF0DB1"/>
    <w:rsid w:val="00BF2253"/>
    <w:rsid w:val="00BF7BFA"/>
    <w:rsid w:val="00C00000"/>
    <w:rsid w:val="00C00153"/>
    <w:rsid w:val="00C00D5F"/>
    <w:rsid w:val="00C01C38"/>
    <w:rsid w:val="00C02B8C"/>
    <w:rsid w:val="00C04686"/>
    <w:rsid w:val="00C1341B"/>
    <w:rsid w:val="00C1431B"/>
    <w:rsid w:val="00C149A7"/>
    <w:rsid w:val="00C14F78"/>
    <w:rsid w:val="00C15DA8"/>
    <w:rsid w:val="00C220BC"/>
    <w:rsid w:val="00C2554E"/>
    <w:rsid w:val="00C25FCB"/>
    <w:rsid w:val="00C26AC1"/>
    <w:rsid w:val="00C27A4F"/>
    <w:rsid w:val="00C3044D"/>
    <w:rsid w:val="00C35019"/>
    <w:rsid w:val="00C35544"/>
    <w:rsid w:val="00C35638"/>
    <w:rsid w:val="00C36B77"/>
    <w:rsid w:val="00C37413"/>
    <w:rsid w:val="00C37791"/>
    <w:rsid w:val="00C40693"/>
    <w:rsid w:val="00C40752"/>
    <w:rsid w:val="00C40A9F"/>
    <w:rsid w:val="00C42234"/>
    <w:rsid w:val="00C43788"/>
    <w:rsid w:val="00C44786"/>
    <w:rsid w:val="00C45968"/>
    <w:rsid w:val="00C46F94"/>
    <w:rsid w:val="00C47D73"/>
    <w:rsid w:val="00C510F9"/>
    <w:rsid w:val="00C54D51"/>
    <w:rsid w:val="00C56369"/>
    <w:rsid w:val="00C60A1A"/>
    <w:rsid w:val="00C6234B"/>
    <w:rsid w:val="00C6364F"/>
    <w:rsid w:val="00C641FF"/>
    <w:rsid w:val="00C64965"/>
    <w:rsid w:val="00C664C6"/>
    <w:rsid w:val="00C66D5E"/>
    <w:rsid w:val="00C67D15"/>
    <w:rsid w:val="00C70421"/>
    <w:rsid w:val="00C709FE"/>
    <w:rsid w:val="00C7163F"/>
    <w:rsid w:val="00C73034"/>
    <w:rsid w:val="00C75ED4"/>
    <w:rsid w:val="00C77807"/>
    <w:rsid w:val="00C8508B"/>
    <w:rsid w:val="00C867F3"/>
    <w:rsid w:val="00C9219B"/>
    <w:rsid w:val="00C9378D"/>
    <w:rsid w:val="00C94BF9"/>
    <w:rsid w:val="00C961CD"/>
    <w:rsid w:val="00C97565"/>
    <w:rsid w:val="00CA075A"/>
    <w:rsid w:val="00CA1A94"/>
    <w:rsid w:val="00CA2DF9"/>
    <w:rsid w:val="00CA3075"/>
    <w:rsid w:val="00CB2333"/>
    <w:rsid w:val="00CB2EAF"/>
    <w:rsid w:val="00CB55D4"/>
    <w:rsid w:val="00CC02C9"/>
    <w:rsid w:val="00CC1A4A"/>
    <w:rsid w:val="00CC32E2"/>
    <w:rsid w:val="00CC51CC"/>
    <w:rsid w:val="00CC553C"/>
    <w:rsid w:val="00CC6407"/>
    <w:rsid w:val="00CC6D14"/>
    <w:rsid w:val="00CC7A1E"/>
    <w:rsid w:val="00CD01C2"/>
    <w:rsid w:val="00CD689B"/>
    <w:rsid w:val="00CD72C7"/>
    <w:rsid w:val="00CE3C6C"/>
    <w:rsid w:val="00CE5DE3"/>
    <w:rsid w:val="00CF105B"/>
    <w:rsid w:val="00CF27FC"/>
    <w:rsid w:val="00CF31D5"/>
    <w:rsid w:val="00CF435E"/>
    <w:rsid w:val="00CF43C5"/>
    <w:rsid w:val="00D041A2"/>
    <w:rsid w:val="00D04386"/>
    <w:rsid w:val="00D04CAA"/>
    <w:rsid w:val="00D0507B"/>
    <w:rsid w:val="00D11997"/>
    <w:rsid w:val="00D12BC0"/>
    <w:rsid w:val="00D15976"/>
    <w:rsid w:val="00D15CEF"/>
    <w:rsid w:val="00D168A7"/>
    <w:rsid w:val="00D16BAB"/>
    <w:rsid w:val="00D17C4C"/>
    <w:rsid w:val="00D202D1"/>
    <w:rsid w:val="00D221FA"/>
    <w:rsid w:val="00D22B66"/>
    <w:rsid w:val="00D25F31"/>
    <w:rsid w:val="00D269BE"/>
    <w:rsid w:val="00D2775D"/>
    <w:rsid w:val="00D31675"/>
    <w:rsid w:val="00D321A8"/>
    <w:rsid w:val="00D322FB"/>
    <w:rsid w:val="00D32EAF"/>
    <w:rsid w:val="00D41B4C"/>
    <w:rsid w:val="00D4517D"/>
    <w:rsid w:val="00D47042"/>
    <w:rsid w:val="00D47CBD"/>
    <w:rsid w:val="00D502E7"/>
    <w:rsid w:val="00D51A4D"/>
    <w:rsid w:val="00D51CA1"/>
    <w:rsid w:val="00D51D22"/>
    <w:rsid w:val="00D544BB"/>
    <w:rsid w:val="00D54A7D"/>
    <w:rsid w:val="00D54D60"/>
    <w:rsid w:val="00D5566A"/>
    <w:rsid w:val="00D60AED"/>
    <w:rsid w:val="00D62E1B"/>
    <w:rsid w:val="00D635FD"/>
    <w:rsid w:val="00D66CEC"/>
    <w:rsid w:val="00D671C2"/>
    <w:rsid w:val="00D731A7"/>
    <w:rsid w:val="00D74F93"/>
    <w:rsid w:val="00D77718"/>
    <w:rsid w:val="00D80C15"/>
    <w:rsid w:val="00D81D58"/>
    <w:rsid w:val="00D85E1A"/>
    <w:rsid w:val="00D90924"/>
    <w:rsid w:val="00D911B2"/>
    <w:rsid w:val="00D917DB"/>
    <w:rsid w:val="00D9187B"/>
    <w:rsid w:val="00D93060"/>
    <w:rsid w:val="00D93D3D"/>
    <w:rsid w:val="00D93DF8"/>
    <w:rsid w:val="00D95694"/>
    <w:rsid w:val="00D97E5C"/>
    <w:rsid w:val="00DA7F07"/>
    <w:rsid w:val="00DB2EF1"/>
    <w:rsid w:val="00DB3CCC"/>
    <w:rsid w:val="00DB46F3"/>
    <w:rsid w:val="00DB4D8A"/>
    <w:rsid w:val="00DB5F64"/>
    <w:rsid w:val="00DB6D25"/>
    <w:rsid w:val="00DC18E1"/>
    <w:rsid w:val="00DC25FC"/>
    <w:rsid w:val="00DC6FCA"/>
    <w:rsid w:val="00DC76CA"/>
    <w:rsid w:val="00DD1BEB"/>
    <w:rsid w:val="00DD2A02"/>
    <w:rsid w:val="00DD2BA9"/>
    <w:rsid w:val="00DD568A"/>
    <w:rsid w:val="00DD5CDB"/>
    <w:rsid w:val="00DD5FF8"/>
    <w:rsid w:val="00DD6D1A"/>
    <w:rsid w:val="00DD6E0D"/>
    <w:rsid w:val="00DE3D47"/>
    <w:rsid w:val="00DE525B"/>
    <w:rsid w:val="00DE5F4F"/>
    <w:rsid w:val="00DE630D"/>
    <w:rsid w:val="00DF1197"/>
    <w:rsid w:val="00DF1B7E"/>
    <w:rsid w:val="00DF4B8C"/>
    <w:rsid w:val="00DF4D76"/>
    <w:rsid w:val="00DF5A51"/>
    <w:rsid w:val="00DF5E25"/>
    <w:rsid w:val="00DF7028"/>
    <w:rsid w:val="00DF7BD7"/>
    <w:rsid w:val="00E00CB9"/>
    <w:rsid w:val="00E00EB5"/>
    <w:rsid w:val="00E012D6"/>
    <w:rsid w:val="00E01D0B"/>
    <w:rsid w:val="00E03EE5"/>
    <w:rsid w:val="00E055BF"/>
    <w:rsid w:val="00E0677B"/>
    <w:rsid w:val="00E12AF3"/>
    <w:rsid w:val="00E13B7C"/>
    <w:rsid w:val="00E14D1F"/>
    <w:rsid w:val="00E15C70"/>
    <w:rsid w:val="00E225F7"/>
    <w:rsid w:val="00E24F7F"/>
    <w:rsid w:val="00E3005C"/>
    <w:rsid w:val="00E34444"/>
    <w:rsid w:val="00E34BA7"/>
    <w:rsid w:val="00E34CF8"/>
    <w:rsid w:val="00E37A15"/>
    <w:rsid w:val="00E41758"/>
    <w:rsid w:val="00E42234"/>
    <w:rsid w:val="00E4251B"/>
    <w:rsid w:val="00E45CFF"/>
    <w:rsid w:val="00E46091"/>
    <w:rsid w:val="00E46B1A"/>
    <w:rsid w:val="00E5251D"/>
    <w:rsid w:val="00E535F6"/>
    <w:rsid w:val="00E5540E"/>
    <w:rsid w:val="00E55A08"/>
    <w:rsid w:val="00E563C9"/>
    <w:rsid w:val="00E56DD6"/>
    <w:rsid w:val="00E66AEB"/>
    <w:rsid w:val="00E67DB0"/>
    <w:rsid w:val="00E71384"/>
    <w:rsid w:val="00E7538E"/>
    <w:rsid w:val="00E75A9D"/>
    <w:rsid w:val="00E8105E"/>
    <w:rsid w:val="00E81B2D"/>
    <w:rsid w:val="00E8676B"/>
    <w:rsid w:val="00E86D58"/>
    <w:rsid w:val="00E91149"/>
    <w:rsid w:val="00E92DC5"/>
    <w:rsid w:val="00E94E29"/>
    <w:rsid w:val="00E95A4D"/>
    <w:rsid w:val="00E961BF"/>
    <w:rsid w:val="00EA122E"/>
    <w:rsid w:val="00EA1D74"/>
    <w:rsid w:val="00EA4C98"/>
    <w:rsid w:val="00EA7161"/>
    <w:rsid w:val="00EB1D4F"/>
    <w:rsid w:val="00EB2C53"/>
    <w:rsid w:val="00EB45AC"/>
    <w:rsid w:val="00EB499C"/>
    <w:rsid w:val="00EB7103"/>
    <w:rsid w:val="00EC0C17"/>
    <w:rsid w:val="00EC178F"/>
    <w:rsid w:val="00EC3228"/>
    <w:rsid w:val="00EC3381"/>
    <w:rsid w:val="00EC483A"/>
    <w:rsid w:val="00EC4CB8"/>
    <w:rsid w:val="00EC4D12"/>
    <w:rsid w:val="00EC5635"/>
    <w:rsid w:val="00EC723B"/>
    <w:rsid w:val="00ED74AF"/>
    <w:rsid w:val="00ED7598"/>
    <w:rsid w:val="00EE0287"/>
    <w:rsid w:val="00EE14CB"/>
    <w:rsid w:val="00EE3212"/>
    <w:rsid w:val="00EE4D54"/>
    <w:rsid w:val="00EE5732"/>
    <w:rsid w:val="00EE6431"/>
    <w:rsid w:val="00EE79BF"/>
    <w:rsid w:val="00EE7B2B"/>
    <w:rsid w:val="00EF13BD"/>
    <w:rsid w:val="00EF455F"/>
    <w:rsid w:val="00EF4D04"/>
    <w:rsid w:val="00EF54D8"/>
    <w:rsid w:val="00EF5889"/>
    <w:rsid w:val="00EF5B9A"/>
    <w:rsid w:val="00EF7663"/>
    <w:rsid w:val="00F00311"/>
    <w:rsid w:val="00F020B7"/>
    <w:rsid w:val="00F0558C"/>
    <w:rsid w:val="00F06B6E"/>
    <w:rsid w:val="00F07611"/>
    <w:rsid w:val="00F12C12"/>
    <w:rsid w:val="00F13D2C"/>
    <w:rsid w:val="00F13F0F"/>
    <w:rsid w:val="00F15E4F"/>
    <w:rsid w:val="00F2139E"/>
    <w:rsid w:val="00F23C3C"/>
    <w:rsid w:val="00F24F11"/>
    <w:rsid w:val="00F25773"/>
    <w:rsid w:val="00F26764"/>
    <w:rsid w:val="00F30996"/>
    <w:rsid w:val="00F320C8"/>
    <w:rsid w:val="00F32FC9"/>
    <w:rsid w:val="00F36017"/>
    <w:rsid w:val="00F371FF"/>
    <w:rsid w:val="00F4148C"/>
    <w:rsid w:val="00F429EC"/>
    <w:rsid w:val="00F45003"/>
    <w:rsid w:val="00F450C1"/>
    <w:rsid w:val="00F47C08"/>
    <w:rsid w:val="00F5075C"/>
    <w:rsid w:val="00F54E5D"/>
    <w:rsid w:val="00F54EAC"/>
    <w:rsid w:val="00F556D5"/>
    <w:rsid w:val="00F573EB"/>
    <w:rsid w:val="00F60CB2"/>
    <w:rsid w:val="00F614FF"/>
    <w:rsid w:val="00F64889"/>
    <w:rsid w:val="00F661AC"/>
    <w:rsid w:val="00F662C0"/>
    <w:rsid w:val="00F66BAA"/>
    <w:rsid w:val="00F738F2"/>
    <w:rsid w:val="00F763B0"/>
    <w:rsid w:val="00F77A39"/>
    <w:rsid w:val="00F8019D"/>
    <w:rsid w:val="00F81704"/>
    <w:rsid w:val="00F81D96"/>
    <w:rsid w:val="00F81DC8"/>
    <w:rsid w:val="00F823C8"/>
    <w:rsid w:val="00F83E2B"/>
    <w:rsid w:val="00F86F8C"/>
    <w:rsid w:val="00F93B4B"/>
    <w:rsid w:val="00F9418D"/>
    <w:rsid w:val="00F945FF"/>
    <w:rsid w:val="00F96DC5"/>
    <w:rsid w:val="00F97F8C"/>
    <w:rsid w:val="00FA31A0"/>
    <w:rsid w:val="00FA3997"/>
    <w:rsid w:val="00FA5BBB"/>
    <w:rsid w:val="00FA6C28"/>
    <w:rsid w:val="00FA76E5"/>
    <w:rsid w:val="00FB2935"/>
    <w:rsid w:val="00FB303F"/>
    <w:rsid w:val="00FB36E1"/>
    <w:rsid w:val="00FB37BF"/>
    <w:rsid w:val="00FB7476"/>
    <w:rsid w:val="00FC2CA7"/>
    <w:rsid w:val="00FC55DA"/>
    <w:rsid w:val="00FC5884"/>
    <w:rsid w:val="00FC5F77"/>
    <w:rsid w:val="00FD04D6"/>
    <w:rsid w:val="00FD07B8"/>
    <w:rsid w:val="00FD0890"/>
    <w:rsid w:val="00FD240C"/>
    <w:rsid w:val="00FD414C"/>
    <w:rsid w:val="00FD4310"/>
    <w:rsid w:val="00FD5080"/>
    <w:rsid w:val="00FD5423"/>
    <w:rsid w:val="00FD6DCC"/>
    <w:rsid w:val="00FE1A4C"/>
    <w:rsid w:val="00FE247C"/>
    <w:rsid w:val="00FE32D5"/>
    <w:rsid w:val="00FE39D1"/>
    <w:rsid w:val="00FE3BD7"/>
    <w:rsid w:val="00FE6DB7"/>
    <w:rsid w:val="00FF3709"/>
    <w:rsid w:val="00FF54F8"/>
    <w:rsid w:val="00FF5840"/>
    <w:rsid w:val="00FF6094"/>
    <w:rsid w:val="02213639"/>
    <w:rsid w:val="032D72C5"/>
    <w:rsid w:val="03475CFA"/>
    <w:rsid w:val="03572688"/>
    <w:rsid w:val="037F0043"/>
    <w:rsid w:val="03A74A80"/>
    <w:rsid w:val="04815754"/>
    <w:rsid w:val="048D2705"/>
    <w:rsid w:val="05EB078A"/>
    <w:rsid w:val="065E0402"/>
    <w:rsid w:val="071B0F93"/>
    <w:rsid w:val="074573FA"/>
    <w:rsid w:val="07B354B0"/>
    <w:rsid w:val="07C879D4"/>
    <w:rsid w:val="07EC0F21"/>
    <w:rsid w:val="08A17D6F"/>
    <w:rsid w:val="08F03C6E"/>
    <w:rsid w:val="08F97A0D"/>
    <w:rsid w:val="08FD1FCF"/>
    <w:rsid w:val="090A4C73"/>
    <w:rsid w:val="09485AF6"/>
    <w:rsid w:val="09E74439"/>
    <w:rsid w:val="0A6C77BC"/>
    <w:rsid w:val="0A7F46C9"/>
    <w:rsid w:val="0A897246"/>
    <w:rsid w:val="0ACB3BD6"/>
    <w:rsid w:val="0AD514F4"/>
    <w:rsid w:val="0B762977"/>
    <w:rsid w:val="0BC33A5C"/>
    <w:rsid w:val="0BFC7F84"/>
    <w:rsid w:val="0C9772B7"/>
    <w:rsid w:val="0D023166"/>
    <w:rsid w:val="0D413ECD"/>
    <w:rsid w:val="0D5810BE"/>
    <w:rsid w:val="0E18253E"/>
    <w:rsid w:val="0E486C7E"/>
    <w:rsid w:val="0E6E5472"/>
    <w:rsid w:val="0EE85502"/>
    <w:rsid w:val="0F72710F"/>
    <w:rsid w:val="0F732640"/>
    <w:rsid w:val="11205973"/>
    <w:rsid w:val="115F398D"/>
    <w:rsid w:val="11E703BE"/>
    <w:rsid w:val="1288274F"/>
    <w:rsid w:val="13596D81"/>
    <w:rsid w:val="1376540A"/>
    <w:rsid w:val="13C60FE1"/>
    <w:rsid w:val="13F63A4E"/>
    <w:rsid w:val="145E36BB"/>
    <w:rsid w:val="1475158F"/>
    <w:rsid w:val="14B51486"/>
    <w:rsid w:val="15FB0B06"/>
    <w:rsid w:val="16527FAD"/>
    <w:rsid w:val="16D910E9"/>
    <w:rsid w:val="18A534D3"/>
    <w:rsid w:val="190F3F20"/>
    <w:rsid w:val="1A4C2D31"/>
    <w:rsid w:val="1AAF0857"/>
    <w:rsid w:val="1ACE0937"/>
    <w:rsid w:val="1BD532D5"/>
    <w:rsid w:val="1C7B0DC7"/>
    <w:rsid w:val="1D623A4C"/>
    <w:rsid w:val="1DE67DD4"/>
    <w:rsid w:val="1E27207F"/>
    <w:rsid w:val="1E2F2BC0"/>
    <w:rsid w:val="1EA416D1"/>
    <w:rsid w:val="205C0102"/>
    <w:rsid w:val="20872D16"/>
    <w:rsid w:val="20AC451D"/>
    <w:rsid w:val="20B8113C"/>
    <w:rsid w:val="210567FF"/>
    <w:rsid w:val="22165FEF"/>
    <w:rsid w:val="221B5C87"/>
    <w:rsid w:val="22241C62"/>
    <w:rsid w:val="22815FBB"/>
    <w:rsid w:val="22A86539"/>
    <w:rsid w:val="22DB388A"/>
    <w:rsid w:val="235A5E8C"/>
    <w:rsid w:val="23C010B4"/>
    <w:rsid w:val="2406436E"/>
    <w:rsid w:val="241A2A47"/>
    <w:rsid w:val="257D482F"/>
    <w:rsid w:val="26E776E2"/>
    <w:rsid w:val="27062195"/>
    <w:rsid w:val="281227BE"/>
    <w:rsid w:val="29082BE0"/>
    <w:rsid w:val="29B204D0"/>
    <w:rsid w:val="2A152375"/>
    <w:rsid w:val="2A903429"/>
    <w:rsid w:val="2B143BB9"/>
    <w:rsid w:val="2BA86FDA"/>
    <w:rsid w:val="2C9C413F"/>
    <w:rsid w:val="2CA37B48"/>
    <w:rsid w:val="2E153E3E"/>
    <w:rsid w:val="2E482640"/>
    <w:rsid w:val="2E75104B"/>
    <w:rsid w:val="2F045E9D"/>
    <w:rsid w:val="2F3D528D"/>
    <w:rsid w:val="2F6973D6"/>
    <w:rsid w:val="30520313"/>
    <w:rsid w:val="31E71F55"/>
    <w:rsid w:val="31F820E3"/>
    <w:rsid w:val="322F0E63"/>
    <w:rsid w:val="32A9284E"/>
    <w:rsid w:val="33292380"/>
    <w:rsid w:val="334760AD"/>
    <w:rsid w:val="33483413"/>
    <w:rsid w:val="337F1A8A"/>
    <w:rsid w:val="338D64AA"/>
    <w:rsid w:val="354E1972"/>
    <w:rsid w:val="3554290A"/>
    <w:rsid w:val="3579666A"/>
    <w:rsid w:val="35A0080B"/>
    <w:rsid w:val="35AA111A"/>
    <w:rsid w:val="36D85D44"/>
    <w:rsid w:val="36E5568C"/>
    <w:rsid w:val="37B374E9"/>
    <w:rsid w:val="38174957"/>
    <w:rsid w:val="385B6485"/>
    <w:rsid w:val="38802E42"/>
    <w:rsid w:val="38BF72BF"/>
    <w:rsid w:val="38E154CB"/>
    <w:rsid w:val="39362D1F"/>
    <w:rsid w:val="39A42825"/>
    <w:rsid w:val="39B91B24"/>
    <w:rsid w:val="39CE374C"/>
    <w:rsid w:val="3A16675B"/>
    <w:rsid w:val="3A250919"/>
    <w:rsid w:val="3A463D88"/>
    <w:rsid w:val="3AEF0BBF"/>
    <w:rsid w:val="3AFF14FD"/>
    <w:rsid w:val="3B083688"/>
    <w:rsid w:val="3B3C4AD4"/>
    <w:rsid w:val="3B595F51"/>
    <w:rsid w:val="3B735CFA"/>
    <w:rsid w:val="3B93766F"/>
    <w:rsid w:val="3BF0099B"/>
    <w:rsid w:val="3C6149CA"/>
    <w:rsid w:val="3C7E0730"/>
    <w:rsid w:val="3C9C4243"/>
    <w:rsid w:val="3CB47254"/>
    <w:rsid w:val="3CD744F6"/>
    <w:rsid w:val="3CE70777"/>
    <w:rsid w:val="3D3A0643"/>
    <w:rsid w:val="3D4033D4"/>
    <w:rsid w:val="3D5E74BC"/>
    <w:rsid w:val="3E071ED4"/>
    <w:rsid w:val="3EB17E58"/>
    <w:rsid w:val="3ED1739E"/>
    <w:rsid w:val="3F247605"/>
    <w:rsid w:val="3F3725C6"/>
    <w:rsid w:val="3FEF1D74"/>
    <w:rsid w:val="3FF86E00"/>
    <w:rsid w:val="41184CDA"/>
    <w:rsid w:val="41684A9F"/>
    <w:rsid w:val="41A431DD"/>
    <w:rsid w:val="41B82A13"/>
    <w:rsid w:val="41EF26D4"/>
    <w:rsid w:val="42894C9A"/>
    <w:rsid w:val="42C76185"/>
    <w:rsid w:val="43553004"/>
    <w:rsid w:val="437F535C"/>
    <w:rsid w:val="43932D9E"/>
    <w:rsid w:val="43C071B6"/>
    <w:rsid w:val="445C4E7E"/>
    <w:rsid w:val="4490532A"/>
    <w:rsid w:val="44D43DDA"/>
    <w:rsid w:val="44DC5CFF"/>
    <w:rsid w:val="45321617"/>
    <w:rsid w:val="455C39CB"/>
    <w:rsid w:val="46607580"/>
    <w:rsid w:val="46B72B6B"/>
    <w:rsid w:val="471F7B3D"/>
    <w:rsid w:val="47384336"/>
    <w:rsid w:val="47F33399"/>
    <w:rsid w:val="48312713"/>
    <w:rsid w:val="494A4EC5"/>
    <w:rsid w:val="496E73A9"/>
    <w:rsid w:val="49E25246"/>
    <w:rsid w:val="49F772E6"/>
    <w:rsid w:val="49FF2044"/>
    <w:rsid w:val="4A1C7526"/>
    <w:rsid w:val="4A521558"/>
    <w:rsid w:val="4AA24F78"/>
    <w:rsid w:val="4AB34A3B"/>
    <w:rsid w:val="4ACC3E46"/>
    <w:rsid w:val="4B033DF1"/>
    <w:rsid w:val="4B520AF9"/>
    <w:rsid w:val="4BCB3ED5"/>
    <w:rsid w:val="4BD30021"/>
    <w:rsid w:val="4BFB0D59"/>
    <w:rsid w:val="4C0C69D1"/>
    <w:rsid w:val="4C607EB5"/>
    <w:rsid w:val="4D0B68F4"/>
    <w:rsid w:val="4D47255E"/>
    <w:rsid w:val="4DC12D25"/>
    <w:rsid w:val="4DCB79F5"/>
    <w:rsid w:val="4DDA4AF3"/>
    <w:rsid w:val="4E633F70"/>
    <w:rsid w:val="4EA37CC9"/>
    <w:rsid w:val="4EBA2C77"/>
    <w:rsid w:val="4F403C62"/>
    <w:rsid w:val="4F6A5905"/>
    <w:rsid w:val="4F7B56A0"/>
    <w:rsid w:val="50FF3A54"/>
    <w:rsid w:val="51611DCB"/>
    <w:rsid w:val="523B5C10"/>
    <w:rsid w:val="52A358B7"/>
    <w:rsid w:val="52C05AA3"/>
    <w:rsid w:val="52F543A6"/>
    <w:rsid w:val="53350A12"/>
    <w:rsid w:val="535B4F47"/>
    <w:rsid w:val="53A24E1A"/>
    <w:rsid w:val="54223567"/>
    <w:rsid w:val="54B2128B"/>
    <w:rsid w:val="552674BB"/>
    <w:rsid w:val="55744EBA"/>
    <w:rsid w:val="55F50176"/>
    <w:rsid w:val="56BA06F8"/>
    <w:rsid w:val="56C879B2"/>
    <w:rsid w:val="570E0243"/>
    <w:rsid w:val="5783216E"/>
    <w:rsid w:val="58252838"/>
    <w:rsid w:val="58405261"/>
    <w:rsid w:val="58772B96"/>
    <w:rsid w:val="58FF4DBF"/>
    <w:rsid w:val="59527DD6"/>
    <w:rsid w:val="59873B11"/>
    <w:rsid w:val="59AA5F42"/>
    <w:rsid w:val="5A010945"/>
    <w:rsid w:val="5B144564"/>
    <w:rsid w:val="5B663E7D"/>
    <w:rsid w:val="5BF65C6D"/>
    <w:rsid w:val="5DAE4330"/>
    <w:rsid w:val="5E6429CF"/>
    <w:rsid w:val="5F4466A0"/>
    <w:rsid w:val="5FB23ABB"/>
    <w:rsid w:val="5FC73C5D"/>
    <w:rsid w:val="609F2A6A"/>
    <w:rsid w:val="60BD242D"/>
    <w:rsid w:val="613B0970"/>
    <w:rsid w:val="619C0AD1"/>
    <w:rsid w:val="61E97D5C"/>
    <w:rsid w:val="61F3273F"/>
    <w:rsid w:val="62072EA7"/>
    <w:rsid w:val="62AA4632"/>
    <w:rsid w:val="62DC4EC2"/>
    <w:rsid w:val="62E07315"/>
    <w:rsid w:val="63037AE1"/>
    <w:rsid w:val="638A6D22"/>
    <w:rsid w:val="64726966"/>
    <w:rsid w:val="65857988"/>
    <w:rsid w:val="65BE14E4"/>
    <w:rsid w:val="65FF6A62"/>
    <w:rsid w:val="660C01C1"/>
    <w:rsid w:val="66590BEE"/>
    <w:rsid w:val="66C54F1E"/>
    <w:rsid w:val="66CB5E39"/>
    <w:rsid w:val="66E53B82"/>
    <w:rsid w:val="67ED1B11"/>
    <w:rsid w:val="68C47E28"/>
    <w:rsid w:val="68E258A1"/>
    <w:rsid w:val="68EA1A6E"/>
    <w:rsid w:val="693604FF"/>
    <w:rsid w:val="693E2985"/>
    <w:rsid w:val="6A1F701C"/>
    <w:rsid w:val="6A385E52"/>
    <w:rsid w:val="6A3F27ED"/>
    <w:rsid w:val="6A9B2674"/>
    <w:rsid w:val="6ACD1B24"/>
    <w:rsid w:val="6BBF2686"/>
    <w:rsid w:val="6CBF2379"/>
    <w:rsid w:val="6CCC5E0B"/>
    <w:rsid w:val="6D6E4630"/>
    <w:rsid w:val="6D9510D7"/>
    <w:rsid w:val="6DCC37B0"/>
    <w:rsid w:val="6E046E42"/>
    <w:rsid w:val="718B67E0"/>
    <w:rsid w:val="71A71502"/>
    <w:rsid w:val="71CF04C8"/>
    <w:rsid w:val="721E6A4D"/>
    <w:rsid w:val="72256EB1"/>
    <w:rsid w:val="72345C6E"/>
    <w:rsid w:val="724441A7"/>
    <w:rsid w:val="72A95C2C"/>
    <w:rsid w:val="72B04007"/>
    <w:rsid w:val="72DA63FB"/>
    <w:rsid w:val="73C8364B"/>
    <w:rsid w:val="74A34644"/>
    <w:rsid w:val="758E071D"/>
    <w:rsid w:val="76984955"/>
    <w:rsid w:val="76A806BB"/>
    <w:rsid w:val="77EE514F"/>
    <w:rsid w:val="781370D9"/>
    <w:rsid w:val="78C0565A"/>
    <w:rsid w:val="790E3028"/>
    <w:rsid w:val="792B1E42"/>
    <w:rsid w:val="79900260"/>
    <w:rsid w:val="7A4D5F33"/>
    <w:rsid w:val="7A7268E5"/>
    <w:rsid w:val="7A8B1BC2"/>
    <w:rsid w:val="7AAA2A6B"/>
    <w:rsid w:val="7B017676"/>
    <w:rsid w:val="7B4413CE"/>
    <w:rsid w:val="7B8423DB"/>
    <w:rsid w:val="7BA763A9"/>
    <w:rsid w:val="7BE11BCC"/>
    <w:rsid w:val="7BFD6036"/>
    <w:rsid w:val="7C9032CB"/>
    <w:rsid w:val="7D320274"/>
    <w:rsid w:val="7E0E133C"/>
    <w:rsid w:val="7EEB300B"/>
    <w:rsid w:val="7F3F10C7"/>
    <w:rsid w:val="7FA738EE"/>
    <w:rsid w:val="7FDD3411"/>
    <w:rsid w:val="7FFA5204"/>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60" w:after="60" w:line="480" w:lineRule="auto"/>
      <w:jc w:val="both"/>
    </w:pPr>
    <w:rPr>
      <w:rFonts w:ascii="Calibri" w:hAnsi="Calibri" w:eastAsia="等线" w:cs="Times New Roman"/>
      <w:kern w:val="2"/>
      <w:sz w:val="21"/>
      <w:lang w:val="en-US" w:eastAsia="zh-CN" w:bidi="ar-SA"/>
    </w:rPr>
  </w:style>
  <w:style w:type="paragraph" w:styleId="2">
    <w:name w:val="heading 1"/>
    <w:basedOn w:val="1"/>
    <w:next w:val="1"/>
    <w:qFormat/>
    <w:uiPriority w:val="0"/>
    <w:pPr>
      <w:keepNext/>
      <w:keepLines/>
      <w:snapToGrid w:val="0"/>
      <w:spacing w:before="340" w:after="330" w:line="240" w:lineRule="auto"/>
      <w:jc w:val="center"/>
      <w:outlineLvl w:val="0"/>
    </w:pPr>
    <w:rPr>
      <w:rFonts w:ascii="Times New Roman" w:hAnsi="Times New Roman" w:eastAsia="黑体"/>
      <w:bCs/>
      <w:kern w:val="44"/>
      <w:sz w:val="44"/>
      <w:szCs w:val="44"/>
    </w:rPr>
  </w:style>
  <w:style w:type="paragraph" w:styleId="3">
    <w:name w:val="heading 2"/>
    <w:basedOn w:val="1"/>
    <w:next w:val="1"/>
    <w:qFormat/>
    <w:uiPriority w:val="0"/>
    <w:pPr>
      <w:spacing w:line="360" w:lineRule="auto"/>
      <w:jc w:val="left"/>
      <w:textAlignment w:val="baseline"/>
      <w:outlineLvl w:val="1"/>
    </w:pPr>
    <w:rPr>
      <w:rFonts w:ascii="Times New Roman" w:hAnsi="Times New Roman" w:eastAsia="宋体"/>
      <w:b/>
      <w:kern w:val="0"/>
      <w:sz w:val="28"/>
    </w:rPr>
  </w:style>
  <w:style w:type="paragraph" w:styleId="4">
    <w:name w:val="heading 3"/>
    <w:basedOn w:val="1"/>
    <w:next w:val="1"/>
    <w:qFormat/>
    <w:uiPriority w:val="0"/>
    <w:pPr>
      <w:adjustRightInd w:val="0"/>
      <w:spacing w:line="360" w:lineRule="auto"/>
      <w:ind w:firstLine="200" w:firstLineChars="200"/>
      <w:jc w:val="left"/>
      <w:textAlignment w:val="baseline"/>
      <w:outlineLvl w:val="2"/>
    </w:pPr>
    <w:rPr>
      <w:rFonts w:ascii="Times New Roman" w:hAnsi="Times New Roman" w:eastAsia="宋体"/>
      <w:kern w:val="0"/>
      <w:sz w:val="28"/>
    </w:rPr>
  </w:style>
  <w:style w:type="paragraph" w:styleId="5">
    <w:name w:val="heading 4"/>
    <w:basedOn w:val="1"/>
    <w:next w:val="1"/>
    <w:link w:val="91"/>
    <w:qFormat/>
    <w:uiPriority w:val="0"/>
    <w:pPr>
      <w:keepNext/>
      <w:keepLines/>
      <w:spacing w:before="0" w:after="0"/>
      <w:jc w:val="left"/>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2" w:lineRule="auto"/>
      <w:outlineLvl w:val="4"/>
    </w:pPr>
    <w:rPr>
      <w:rFonts w:eastAsia="宋体"/>
      <w:b/>
      <w:bCs/>
      <w:sz w:val="28"/>
      <w:szCs w:val="28"/>
    </w:rPr>
  </w:style>
  <w:style w:type="paragraph" w:styleId="7">
    <w:name w:val="heading 7"/>
    <w:basedOn w:val="1"/>
    <w:next w:val="1"/>
    <w:qFormat/>
    <w:uiPriority w:val="0"/>
    <w:pPr>
      <w:keepNext/>
      <w:keepLines/>
      <w:spacing w:before="240" w:after="120" w:line="360" w:lineRule="auto"/>
      <w:jc w:val="center"/>
      <w:outlineLvl w:val="6"/>
    </w:pPr>
    <w:rPr>
      <w:rFonts w:ascii="Times New Roman" w:hAnsi="Times New Roman" w:eastAsia="宋体"/>
      <w:b/>
      <w:bCs/>
      <w:sz w:val="28"/>
    </w:rPr>
  </w:style>
  <w:style w:type="paragraph" w:styleId="8">
    <w:name w:val="heading 8"/>
    <w:basedOn w:val="1"/>
    <w:next w:val="1"/>
    <w:qFormat/>
    <w:uiPriority w:val="0"/>
    <w:pPr>
      <w:keepNext/>
      <w:keepLines/>
      <w:spacing w:before="240" w:after="64" w:line="317" w:lineRule="auto"/>
      <w:outlineLvl w:val="7"/>
    </w:pPr>
    <w:rPr>
      <w:rFonts w:ascii="Cambria" w:hAnsi="Cambria" w:eastAsia="宋体"/>
    </w:rPr>
  </w:style>
  <w:style w:type="character" w:default="1" w:styleId="29">
    <w:name w:val="Default Paragraph Font"/>
    <w:unhideWhenUsed/>
    <w:uiPriority w:val="1"/>
  </w:style>
  <w:style w:type="table" w:default="1" w:styleId="34">
    <w:name w:val="Normal Table"/>
    <w:unhideWhenUsed/>
    <w:uiPriority w:val="99"/>
    <w:tblPr>
      <w:tblStyle w:val="34"/>
      <w:tblLayout w:type="fixed"/>
      <w:tblCellMar>
        <w:top w:w="0" w:type="dxa"/>
        <w:left w:w="108" w:type="dxa"/>
        <w:bottom w:w="0" w:type="dxa"/>
        <w:right w:w="108" w:type="dxa"/>
      </w:tblCellMar>
    </w:tblPr>
    <w:tcPr>
      <w:textDirection w:val="lrTb"/>
    </w:tcPr>
  </w:style>
  <w:style w:type="paragraph" w:styleId="9">
    <w:name w:val="annotation subject"/>
    <w:basedOn w:val="10"/>
    <w:next w:val="10"/>
    <w:semiHidden/>
    <w:uiPriority w:val="0"/>
    <w:rPr>
      <w:b/>
      <w:bCs/>
    </w:rPr>
  </w:style>
  <w:style w:type="paragraph" w:styleId="10">
    <w:name w:val="annotation text"/>
    <w:basedOn w:val="1"/>
    <w:semiHidden/>
    <w:uiPriority w:val="0"/>
    <w:pPr>
      <w:jc w:val="left"/>
    </w:pPr>
  </w:style>
  <w:style w:type="paragraph" w:styleId="11">
    <w:name w:val="toc 7"/>
    <w:basedOn w:val="1"/>
    <w:next w:val="1"/>
    <w:uiPriority w:val="0"/>
    <w:pPr>
      <w:spacing w:before="0" w:after="0"/>
      <w:ind w:left="1260"/>
      <w:jc w:val="left"/>
    </w:pPr>
    <w:rPr>
      <w:rFonts w:cs="Calibri"/>
      <w:sz w:val="18"/>
      <w:szCs w:val="18"/>
    </w:rPr>
  </w:style>
  <w:style w:type="paragraph" w:styleId="12">
    <w:name w:val="Body Text First Indent"/>
    <w:basedOn w:val="13"/>
    <w:link w:val="85"/>
    <w:uiPriority w:val="0"/>
    <w:pPr>
      <w:adjustRightInd/>
      <w:spacing w:after="120"/>
      <w:ind w:firstLine="420" w:firstLineChars="100"/>
      <w:jc w:val="both"/>
      <w:textAlignment w:val="auto"/>
    </w:pPr>
    <w:rPr>
      <w:kern w:val="2"/>
      <w:sz w:val="21"/>
      <w:szCs w:val="24"/>
    </w:rPr>
  </w:style>
  <w:style w:type="paragraph" w:styleId="13">
    <w:name w:val="Body Text"/>
    <w:basedOn w:val="1"/>
    <w:link w:val="86"/>
    <w:uiPriority w:val="0"/>
    <w:pPr>
      <w:autoSpaceDE w:val="0"/>
      <w:autoSpaceDN w:val="0"/>
      <w:adjustRightInd w:val="0"/>
      <w:jc w:val="left"/>
      <w:textAlignment w:val="baseline"/>
    </w:pPr>
    <w:rPr>
      <w:rFonts w:eastAsia="仿宋_GB2312"/>
      <w:kern w:val="0"/>
      <w:sz w:val="28"/>
    </w:rPr>
  </w:style>
  <w:style w:type="paragraph" w:styleId="14">
    <w:name w:val="Normal Indent"/>
    <w:basedOn w:val="1"/>
    <w:link w:val="90"/>
    <w:uiPriority w:val="0"/>
    <w:pPr>
      <w:ind w:firstLine="420"/>
    </w:pPr>
  </w:style>
  <w:style w:type="paragraph" w:styleId="15">
    <w:name w:val="Document Map"/>
    <w:basedOn w:val="1"/>
    <w:semiHidden/>
    <w:uiPriority w:val="0"/>
    <w:pPr>
      <w:shd w:val="clear" w:color="auto" w:fill="000080"/>
    </w:pPr>
  </w:style>
  <w:style w:type="paragraph" w:styleId="16">
    <w:name w:val="Body Text Indent"/>
    <w:basedOn w:val="1"/>
    <w:qFormat/>
    <w:uiPriority w:val="0"/>
    <w:pPr>
      <w:spacing w:before="260" w:after="260"/>
      <w:ind w:firstLine="444"/>
    </w:pPr>
    <w:rPr>
      <w:rFonts w:eastAsia="宋体"/>
      <w:b/>
    </w:rPr>
  </w:style>
  <w:style w:type="paragraph" w:styleId="17">
    <w:name w:val="toc 5"/>
    <w:basedOn w:val="1"/>
    <w:next w:val="1"/>
    <w:uiPriority w:val="0"/>
    <w:pPr>
      <w:spacing w:before="0" w:after="0"/>
      <w:ind w:left="840"/>
      <w:jc w:val="left"/>
    </w:pPr>
    <w:rPr>
      <w:rFonts w:cs="Calibri"/>
      <w:sz w:val="18"/>
      <w:szCs w:val="18"/>
    </w:rPr>
  </w:style>
  <w:style w:type="paragraph" w:styleId="18">
    <w:name w:val="toc 3"/>
    <w:basedOn w:val="1"/>
    <w:next w:val="1"/>
    <w:uiPriority w:val="0"/>
    <w:pPr>
      <w:spacing w:before="0" w:after="0"/>
      <w:ind w:left="420"/>
      <w:jc w:val="left"/>
    </w:pPr>
    <w:rPr>
      <w:rFonts w:cs="Calibri"/>
      <w:i/>
      <w:iCs/>
      <w:sz w:val="20"/>
    </w:rPr>
  </w:style>
  <w:style w:type="paragraph" w:styleId="19">
    <w:name w:val="Plain Text"/>
    <w:basedOn w:val="1"/>
    <w:link w:val="95"/>
    <w:uiPriority w:val="0"/>
    <w:rPr>
      <w:rFonts w:ascii="宋体" w:hAnsi="Courier New"/>
    </w:rPr>
  </w:style>
  <w:style w:type="paragraph" w:styleId="20">
    <w:name w:val="toc 8"/>
    <w:basedOn w:val="1"/>
    <w:next w:val="1"/>
    <w:uiPriority w:val="0"/>
    <w:pPr>
      <w:spacing w:before="0" w:after="0"/>
      <w:ind w:left="1470"/>
      <w:jc w:val="left"/>
    </w:pPr>
    <w:rPr>
      <w:rFonts w:cs="Calibri"/>
      <w:sz w:val="18"/>
      <w:szCs w:val="18"/>
    </w:rPr>
  </w:style>
  <w:style w:type="paragraph" w:styleId="21">
    <w:name w:val="Date"/>
    <w:basedOn w:val="1"/>
    <w:next w:val="1"/>
    <w:uiPriority w:val="0"/>
    <w:rPr>
      <w:sz w:val="24"/>
    </w:rPr>
  </w:style>
  <w:style w:type="paragraph" w:styleId="22">
    <w:name w:val="Balloon Text"/>
    <w:basedOn w:val="1"/>
    <w:semiHidden/>
    <w:uiPriority w:val="0"/>
    <w:rPr>
      <w:sz w:val="18"/>
      <w:szCs w:val="18"/>
    </w:rPr>
  </w:style>
  <w:style w:type="paragraph" w:styleId="23">
    <w:name w:val="footer"/>
    <w:basedOn w:val="1"/>
    <w:uiPriority w:val="0"/>
    <w:pPr>
      <w:tabs>
        <w:tab w:val="center" w:pos="4153"/>
        <w:tab w:val="right" w:pos="8306"/>
      </w:tabs>
      <w:snapToGrid w:val="0"/>
      <w:jc w:val="left"/>
    </w:pPr>
    <w:rPr>
      <w:sz w:val="18"/>
    </w:rPr>
  </w:style>
  <w:style w:type="paragraph" w:styleId="24">
    <w:name w:val="header"/>
    <w:basedOn w:val="1"/>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uiPriority w:val="39"/>
    <w:pPr>
      <w:tabs>
        <w:tab w:val="right" w:leader="dot" w:pos="9003"/>
      </w:tabs>
      <w:spacing w:before="120" w:after="120"/>
      <w:jc w:val="left"/>
    </w:pPr>
    <w:rPr>
      <w:rFonts w:ascii="宋体" w:eastAsia="宋体" w:cs="Calibri"/>
      <w:b/>
      <w:bCs/>
      <w:caps/>
      <w:sz w:val="28"/>
    </w:rPr>
  </w:style>
  <w:style w:type="paragraph" w:styleId="26">
    <w:name w:val="toc 6"/>
    <w:basedOn w:val="1"/>
    <w:next w:val="1"/>
    <w:uiPriority w:val="0"/>
    <w:pPr>
      <w:spacing w:before="0" w:after="0"/>
      <w:ind w:left="1050"/>
      <w:jc w:val="left"/>
    </w:pPr>
    <w:rPr>
      <w:rFonts w:cs="Calibri"/>
      <w:sz w:val="18"/>
      <w:szCs w:val="18"/>
    </w:rPr>
  </w:style>
  <w:style w:type="paragraph" w:styleId="27">
    <w:name w:val="toc 9"/>
    <w:basedOn w:val="1"/>
    <w:next w:val="1"/>
    <w:uiPriority w:val="0"/>
    <w:pPr>
      <w:spacing w:before="0" w:after="0"/>
      <w:ind w:left="1680"/>
      <w:jc w:val="left"/>
    </w:pPr>
    <w:rPr>
      <w:rFonts w:cs="Calibri"/>
      <w:sz w:val="18"/>
      <w:szCs w:val="18"/>
    </w:rPr>
  </w:style>
  <w:style w:type="paragraph" w:styleId="28">
    <w:name w:val="Title"/>
    <w:basedOn w:val="1"/>
    <w:qFormat/>
    <w:uiPriority w:val="0"/>
    <w:pPr>
      <w:spacing w:before="240" w:line="360" w:lineRule="auto"/>
      <w:ind w:firstLine="200" w:firstLineChars="200"/>
      <w:jc w:val="center"/>
      <w:outlineLvl w:val="0"/>
    </w:pPr>
    <w:rPr>
      <w:rFonts w:ascii="Arial" w:hAnsi="Arial" w:cs="Arial"/>
      <w:b/>
      <w:bCs/>
      <w:sz w:val="32"/>
      <w:szCs w:val="32"/>
    </w:rPr>
  </w:style>
  <w:style w:type="character" w:styleId="30">
    <w:name w:val="page number"/>
    <w:basedOn w:val="29"/>
    <w:uiPriority w:val="0"/>
    <w:rPr/>
  </w:style>
  <w:style w:type="character" w:styleId="31">
    <w:name w:val="Emphasis"/>
    <w:qFormat/>
    <w:uiPriority w:val="0"/>
    <w:rPr>
      <w:i/>
      <w:iCs/>
    </w:rPr>
  </w:style>
  <w:style w:type="character" w:styleId="32">
    <w:name w:val="Hyperlink"/>
    <w:uiPriority w:val="99"/>
    <w:rPr>
      <w:color w:val="0000FF"/>
      <w:u w:val="single"/>
    </w:rPr>
  </w:style>
  <w:style w:type="character" w:styleId="33">
    <w:name w:val="annotation reference"/>
    <w:semiHidden/>
    <w:uiPriority w:val="0"/>
    <w:rPr>
      <w:sz w:val="21"/>
      <w:szCs w:val="21"/>
    </w:rPr>
  </w:style>
  <w:style w:type="table" w:styleId="35">
    <w:name w:val="Table Grid"/>
    <w:basedOn w:val="34"/>
    <w:uiPriority w:val="59"/>
    <w:pPr/>
    <w:tblPr>
      <w:tblStyle w:val="3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36">
    <w:name w:val="zb正文表格1"/>
    <w:basedOn w:val="1"/>
    <w:link w:val="101"/>
    <w:qFormat/>
    <w:uiPriority w:val="0"/>
    <w:pPr>
      <w:spacing w:line="360" w:lineRule="auto"/>
    </w:pPr>
    <w:rPr>
      <w:rFonts w:ascii="Times New Roman" w:hAnsi="Times New Roman" w:eastAsia="宋体" w:cs="宋体"/>
      <w:sz w:val="28"/>
      <w:szCs w:val="28"/>
    </w:rPr>
  </w:style>
  <w:style w:type="paragraph" w:customStyle="1" w:styleId="37">
    <w:name w:val="zb封面标题"/>
    <w:basedOn w:val="1"/>
    <w:link w:val="93"/>
    <w:qFormat/>
    <w:uiPriority w:val="0"/>
    <w:pPr>
      <w:widowControl w:val="0"/>
      <w:spacing w:before="0" w:after="0" w:line="240" w:lineRule="auto"/>
      <w:jc w:val="center"/>
    </w:pPr>
    <w:rPr>
      <w:rFonts w:ascii="宋体" w:hAnsi="宋体" w:eastAsia="宋体" w:cs="宋体"/>
      <w:sz w:val="52"/>
      <w:szCs w:val="52"/>
    </w:rPr>
  </w:style>
  <w:style w:type="paragraph" w:customStyle="1" w:styleId="38">
    <w:name w:val="zb封面编号"/>
    <w:basedOn w:val="1"/>
    <w:link w:val="94"/>
    <w:qFormat/>
    <w:uiPriority w:val="0"/>
    <w:pPr>
      <w:spacing w:line="360" w:lineRule="auto"/>
    </w:pPr>
    <w:rPr>
      <w:rFonts w:ascii="宋体" w:hAnsi="宋体" w:eastAsia="宋体"/>
      <w:kern w:val="0"/>
      <w:sz w:val="30"/>
      <w:szCs w:val="30"/>
    </w:rPr>
  </w:style>
  <w:style w:type="paragraph" w:customStyle="1" w:styleId="39">
    <w:name w:val="Table Paragraph"/>
    <w:basedOn w:val="1"/>
    <w:qFormat/>
    <w:uiPriority w:val="1"/>
  </w:style>
  <w:style w:type="paragraph" w:customStyle="1" w:styleId="40">
    <w:name w:val="样式 标题A + 段后: 0.5 行"/>
    <w:basedOn w:val="1"/>
    <w:uiPriority w:val="0"/>
    <w:pPr>
      <w:spacing w:before="120" w:afterLines="30" w:line="360" w:lineRule="auto"/>
      <w:jc w:val="center"/>
    </w:pPr>
    <w:rPr>
      <w:rFonts w:eastAsia="黑体" w:cs="宋体"/>
    </w:rPr>
  </w:style>
  <w:style w:type="paragraph" w:customStyle="1" w:styleId="41">
    <w:name w:val="Default"/>
    <w:link w:val="104"/>
    <w:qFormat/>
    <w:uiPriority w:val="0"/>
    <w:pPr>
      <w:widowControl w:val="0"/>
      <w:autoSpaceDE w:val="0"/>
      <w:autoSpaceDN w:val="0"/>
      <w:adjustRightInd w:val="0"/>
      <w:spacing w:line="360" w:lineRule="auto"/>
      <w:jc w:val="both"/>
    </w:pPr>
    <w:rPr>
      <w:rFonts w:ascii="宋体" w:hAnsi="Calibri" w:eastAsia="宋体" w:cs="宋体"/>
      <w:color w:val="000000"/>
      <w:sz w:val="24"/>
      <w:szCs w:val="24"/>
      <w:lang w:val="en-US" w:eastAsia="zh-CN" w:bidi="ar-SA"/>
    </w:rPr>
  </w:style>
  <w:style w:type="paragraph" w:customStyle="1" w:styleId="42">
    <w:name w:val="4 Char"/>
    <w:basedOn w:val="1"/>
    <w:uiPriority w:val="0"/>
    <w:rPr>
      <w:rFonts w:eastAsia="仿宋_GB2312"/>
      <w:sz w:val="32"/>
      <w:szCs w:val="32"/>
    </w:rPr>
  </w:style>
  <w:style w:type="paragraph" w:customStyle="1" w:styleId="43">
    <w:name w:val="标题1 Char Char Char Char"/>
    <w:basedOn w:val="1"/>
    <w:uiPriority w:val="0"/>
    <w:rPr>
      <w:rFonts w:eastAsia="楷体_GB2312"/>
      <w:szCs w:val="21"/>
    </w:rPr>
  </w:style>
  <w:style w:type="paragraph" w:customStyle="1" w:styleId="44">
    <w:name w:val="默认段落字体 Para Char Char Char Char"/>
    <w:basedOn w:val="1"/>
    <w:uiPriority w:val="0"/>
    <w:rPr>
      <w:sz w:val="28"/>
      <w:szCs w:val="24"/>
    </w:rPr>
  </w:style>
  <w:style w:type="paragraph" w:customStyle="1" w:styleId="45">
    <w:name w:val="列表段落1"/>
    <w:basedOn w:val="1"/>
    <w:qFormat/>
    <w:uiPriority w:val="34"/>
    <w:pPr>
      <w:adjustRightInd w:val="0"/>
      <w:snapToGrid w:val="0"/>
      <w:spacing w:before="0" w:after="200" w:line="240" w:lineRule="auto"/>
      <w:ind w:firstLine="420" w:firstLineChars="200"/>
      <w:jc w:val="left"/>
    </w:pPr>
    <w:rPr>
      <w:rFonts w:ascii="Tahoma" w:hAnsi="Tahoma" w:eastAsia="微软雅黑"/>
      <w:kern w:val="0"/>
      <w:sz w:val="22"/>
      <w:szCs w:val="22"/>
    </w:rPr>
  </w:style>
  <w:style w:type="paragraph" w:customStyle="1" w:styleId="46">
    <w:name w:val="样式 超链接 + (西文) 黑体 (中文) 黑体 自动设置 无下划线"/>
    <w:basedOn w:val="1"/>
    <w:link w:val="88"/>
    <w:uiPriority w:val="0"/>
    <w:pPr>
      <w:spacing w:line="360" w:lineRule="auto"/>
      <w:ind w:firstLine="560" w:firstLineChars="200"/>
    </w:pPr>
    <w:rPr>
      <w:rFonts w:ascii="黑体" w:eastAsia="黑体"/>
      <w:sz w:val="28"/>
      <w:szCs w:val="24"/>
    </w:rPr>
  </w:style>
  <w:style w:type="paragraph" w:customStyle="1" w:styleId="47">
    <w:name w:val="样式 首行缩进:  0.74 厘米1"/>
    <w:basedOn w:val="1"/>
    <w:uiPriority w:val="0"/>
    <w:pPr>
      <w:spacing w:line="360" w:lineRule="auto"/>
      <w:ind w:firstLine="420"/>
    </w:pPr>
    <w:rPr>
      <w:rFonts w:cs="宋体"/>
      <w:sz w:val="28"/>
    </w:rPr>
  </w:style>
  <w:style w:type="paragraph" w:customStyle="1" w:styleId="48">
    <w:name w:val="Char Char Char Char Char Char Char"/>
    <w:basedOn w:val="1"/>
    <w:uiPriority w:val="0"/>
    <w:pPr>
      <w:spacing w:after="160" w:line="240" w:lineRule="exact"/>
      <w:jc w:val="left"/>
    </w:pPr>
  </w:style>
  <w:style w:type="paragraph" w:customStyle="1" w:styleId="49">
    <w:name w:val="图表名称"/>
    <w:link w:val="87"/>
    <w:uiPriority w:val="0"/>
    <w:pPr>
      <w:spacing w:before="60" w:after="60" w:line="360" w:lineRule="auto"/>
      <w:jc w:val="center"/>
    </w:pPr>
    <w:rPr>
      <w:rFonts w:ascii="Calibri" w:hAnsi="Calibri" w:eastAsia="等线" w:cs="宋体"/>
      <w:kern w:val="2"/>
      <w:sz w:val="24"/>
      <w:lang w:val="en-US" w:eastAsia="zh-CN" w:bidi="ar-SA"/>
    </w:rPr>
  </w:style>
  <w:style w:type="paragraph" w:customStyle="1" w:styleId="50">
    <w:name w:val="Char Char Char Char"/>
    <w:basedOn w:val="1"/>
    <w:uiPriority w:val="0"/>
    <w:pPr>
      <w:spacing w:line="360" w:lineRule="auto"/>
      <w:ind w:firstLine="200" w:firstLineChars="200"/>
    </w:pPr>
    <w:rPr>
      <w:szCs w:val="24"/>
    </w:rPr>
  </w:style>
  <w:style w:type="paragraph" w:customStyle="1" w:styleId="51">
    <w:name w:val="表文靠左缩进"/>
    <w:basedOn w:val="1"/>
    <w:uiPriority w:val="0"/>
    <w:pPr>
      <w:autoSpaceDE w:val="0"/>
      <w:autoSpaceDN w:val="0"/>
      <w:adjustRightInd w:val="0"/>
      <w:snapToGrid w:val="0"/>
      <w:spacing w:line="360" w:lineRule="atLeast"/>
      <w:ind w:left="113"/>
      <w:jc w:val="left"/>
      <w:textAlignment w:val="center"/>
    </w:pPr>
    <w:rPr>
      <w:rFonts w:ascii="宋体" w:hAnsi="宋体"/>
      <w:kern w:val="0"/>
    </w:rPr>
  </w:style>
  <w:style w:type="paragraph" w:customStyle="1" w:styleId="52">
    <w:name w:val="WPSOffice手动目录 1"/>
    <w:uiPriority w:val="0"/>
    <w:rPr>
      <w:rFonts w:ascii="Calibri" w:hAnsi="Calibri" w:eastAsia="等线" w:cs="Times New Roman"/>
      <w:lang w:val="en-US" w:eastAsia="zh-CN" w:bidi="ar-SA"/>
    </w:rPr>
  </w:style>
  <w:style w:type="paragraph" w:customStyle="1" w:styleId="53">
    <w:name w:val="正文2"/>
    <w:basedOn w:val="1"/>
    <w:next w:val="1"/>
    <w:link w:val="92"/>
    <w:uiPriority w:val="0"/>
    <w:pPr>
      <w:autoSpaceDE w:val="0"/>
      <w:autoSpaceDN w:val="0"/>
      <w:adjustRightInd w:val="0"/>
      <w:spacing w:line="360" w:lineRule="auto"/>
      <w:ind w:firstLine="200" w:firstLineChars="200"/>
    </w:pPr>
    <w:rPr>
      <w:kern w:val="0"/>
      <w:sz w:val="24"/>
    </w:rPr>
  </w:style>
  <w:style w:type="paragraph" w:customStyle="1" w:styleId="54">
    <w:name w:val="样式 小四 首行缩进:  1 厘米"/>
    <w:basedOn w:val="1"/>
    <w:uiPriority w:val="0"/>
    <w:pPr>
      <w:adjustRightInd w:val="0"/>
      <w:snapToGrid w:val="0"/>
      <w:spacing w:line="360" w:lineRule="auto"/>
      <w:ind w:firstLine="567"/>
    </w:pPr>
    <w:rPr>
      <w:rFonts w:cs="宋体"/>
      <w:spacing w:val="-4"/>
      <w:kern w:val="0"/>
      <w:sz w:val="24"/>
    </w:rPr>
  </w:style>
  <w:style w:type="paragraph" w:customStyle="1" w:styleId="55">
    <w:name w:val="Char Char 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56">
    <w:name w:val="样式 样式 正文（首行缩进两字） + 首行缩进:  2 字符 +"/>
    <w:basedOn w:val="1"/>
    <w:link w:val="89"/>
    <w:uiPriority w:val="0"/>
    <w:pPr>
      <w:spacing w:before="100" w:beforeAutospacing="1" w:after="100" w:afterAutospacing="1" w:line="360" w:lineRule="auto"/>
      <w:ind w:firstLine="200" w:firstLineChars="200"/>
    </w:pPr>
    <w:rPr>
      <w:kern w:val="0"/>
      <w:sz w:val="24"/>
    </w:rPr>
  </w:style>
  <w:style w:type="paragraph" w:customStyle="1" w:styleId="57">
    <w:name w:val="样式 标题 4 + 加粗1"/>
    <w:basedOn w:val="5"/>
    <w:uiPriority w:val="0"/>
    <w:pPr>
      <w:tabs>
        <w:tab w:val="left" w:pos="540"/>
        <w:tab w:val="left" w:pos="680"/>
        <w:tab w:val="left" w:pos="1080"/>
        <w:tab w:val="left" w:pos="1440"/>
      </w:tabs>
      <w:spacing w:line="360" w:lineRule="auto"/>
    </w:pPr>
    <w:rPr>
      <w:rFonts w:ascii="黑体" w:hAnsi="黑体"/>
      <w:b w:val="0"/>
      <w:color w:val="000000"/>
      <w:kern w:val="10"/>
      <w:szCs w:val="20"/>
      <w:lang w:val="zh-CN"/>
    </w:rPr>
  </w:style>
  <w:style w:type="paragraph" w:customStyle="1" w:styleId="58">
    <w:name w:val="表格内容 Char"/>
    <w:uiPriority w:val="0"/>
    <w:pPr>
      <w:widowControl w:val="0"/>
      <w:tabs>
        <w:tab w:val="left" w:pos="540"/>
      </w:tabs>
      <w:adjustRightInd w:val="0"/>
      <w:snapToGrid w:val="0"/>
      <w:spacing w:before="60" w:after="60" w:line="400" w:lineRule="exact"/>
      <w:jc w:val="center"/>
    </w:pPr>
    <w:rPr>
      <w:rFonts w:ascii="Calibri" w:hAnsi="Calibri" w:eastAsia="等线" w:cs="Times New Roman"/>
      <w:sz w:val="21"/>
      <w:szCs w:val="24"/>
      <w:lang w:val="en-US" w:eastAsia="zh-CN" w:bidi="ar-SA"/>
    </w:rPr>
  </w:style>
  <w:style w:type="paragraph" w:customStyle="1" w:styleId="59">
    <w:name w:val="正  文"/>
    <w:basedOn w:val="1"/>
    <w:qFormat/>
    <w:uiPriority w:val="0"/>
    <w:pPr>
      <w:ind w:firstLine="200" w:firstLineChars="200"/>
      <w:textAlignment w:val="baseline"/>
    </w:pPr>
    <w:rPr>
      <w:szCs w:val="28"/>
    </w:rPr>
  </w:style>
  <w:style w:type="paragraph" w:customStyle="1" w:styleId="60">
    <w:name w:val="表格"/>
    <w:basedOn w:val="1"/>
    <w:uiPriority w:val="0"/>
    <w:pPr>
      <w:spacing w:line="240" w:lineRule="atLeast"/>
      <w:jc w:val="center"/>
      <w:textAlignment w:val="center"/>
    </w:pPr>
    <w:rPr>
      <w:rFonts w:ascii="Arial" w:hAnsi="Arial"/>
    </w:rPr>
  </w:style>
  <w:style w:type="paragraph" w:customStyle="1" w:styleId="61">
    <w:name w:val="内容"/>
    <w:basedOn w:val="1"/>
    <w:link w:val="84"/>
    <w:uiPriority w:val="0"/>
    <w:pPr>
      <w:spacing w:line="360" w:lineRule="auto"/>
      <w:ind w:firstLine="560" w:firstLineChars="200"/>
    </w:pPr>
    <w:rPr>
      <w:rFonts w:cs="宋体"/>
      <w:sz w:val="24"/>
      <w:szCs w:val="28"/>
    </w:rPr>
  </w:style>
  <w:style w:type="paragraph" w:customStyle="1" w:styleId="62">
    <w:name w:val="简单回函地址"/>
    <w:basedOn w:val="1"/>
    <w:uiPriority w:val="0"/>
    <w:pPr>
      <w:adjustRightInd w:val="0"/>
      <w:spacing w:line="460" w:lineRule="exact"/>
      <w:ind w:firstLine="510"/>
      <w:jc w:val="left"/>
      <w:textAlignment w:val="baseline"/>
    </w:pPr>
    <w:rPr>
      <w:kern w:val="0"/>
      <w:sz w:val="24"/>
    </w:rPr>
  </w:style>
  <w:style w:type="paragraph" w:customStyle="1" w:styleId="63">
    <w:name w:val="样式 四号 行距: 固定值 25 磅"/>
    <w:basedOn w:val="1"/>
    <w:uiPriority w:val="0"/>
    <w:pPr>
      <w:spacing w:line="500" w:lineRule="exact"/>
      <w:ind w:firstLine="560" w:firstLineChars="200"/>
    </w:pPr>
    <w:rPr>
      <w:rFonts w:ascii="宋体" w:hAnsi="宋体"/>
      <w:kern w:val="0"/>
      <w:sz w:val="28"/>
      <w:szCs w:val="28"/>
    </w:rPr>
  </w:style>
  <w:style w:type="paragraph" w:customStyle="1" w:styleId="64">
    <w:name w:val="样式1"/>
    <w:basedOn w:val="1"/>
    <w:uiPriority w:val="0"/>
    <w:pPr>
      <w:adjustRightInd w:val="0"/>
      <w:spacing w:line="420" w:lineRule="auto"/>
      <w:ind w:firstLine="510"/>
      <w:jc w:val="center"/>
      <w:textAlignment w:val="baseline"/>
    </w:pPr>
    <w:rPr>
      <w:rFonts w:ascii="宋体"/>
      <w:kern w:val="0"/>
      <w:sz w:val="24"/>
    </w:rPr>
  </w:style>
  <w:style w:type="paragraph" w:customStyle="1" w:styleId="65">
    <w:name w:val="样式 首行缩进:  2 字符1"/>
    <w:basedOn w:val="1"/>
    <w:uiPriority w:val="0"/>
    <w:pPr>
      <w:spacing w:line="360" w:lineRule="auto"/>
      <w:ind w:firstLine="200" w:firstLineChars="200"/>
    </w:pPr>
    <w:rPr>
      <w:rFonts w:cs="宋体"/>
      <w:kern w:val="0"/>
      <w:sz w:val="24"/>
    </w:rPr>
  </w:style>
  <w:style w:type="paragraph" w:customStyle="1" w:styleId="66">
    <w:name w:val="zb封面标志"/>
    <w:basedOn w:val="19"/>
    <w:link w:val="96"/>
    <w:qFormat/>
    <w:uiPriority w:val="0"/>
    <w:pPr>
      <w:widowControl w:val="0"/>
      <w:spacing w:before="0" w:after="0"/>
      <w:ind w:firstLine="202" w:firstLineChars="28"/>
      <w:jc w:val="center"/>
    </w:pPr>
    <w:rPr>
      <w:rFonts w:hAnsi="宋体" w:eastAsia="宋体" w:cs="宋体"/>
      <w:color w:val="000000"/>
      <w:sz w:val="72"/>
      <w:szCs w:val="72"/>
    </w:rPr>
  </w:style>
  <w:style w:type="paragraph" w:customStyle="1" w:styleId="67">
    <w:name w:val="zb封面落款"/>
    <w:basedOn w:val="19"/>
    <w:link w:val="97"/>
    <w:qFormat/>
    <w:uiPriority w:val="0"/>
    <w:pPr>
      <w:widowControl w:val="0"/>
      <w:spacing w:before="0" w:after="0" w:line="360" w:lineRule="auto"/>
      <w:ind w:firstLine="1440" w:firstLineChars="400"/>
    </w:pPr>
    <w:rPr>
      <w:rFonts w:hAnsi="宋体" w:eastAsia="宋体" w:cs="宋体"/>
      <w:bCs/>
      <w:color w:val="000000"/>
      <w:sz w:val="36"/>
      <w:szCs w:val="36"/>
    </w:rPr>
  </w:style>
  <w:style w:type="paragraph" w:customStyle="1" w:styleId="68">
    <w:name w:val="zb正文顶格"/>
    <w:basedOn w:val="1"/>
    <w:link w:val="98"/>
    <w:qFormat/>
    <w:uiPriority w:val="0"/>
    <w:pPr>
      <w:spacing w:line="360" w:lineRule="auto"/>
      <w:contextualSpacing/>
    </w:pPr>
    <w:rPr>
      <w:rFonts w:ascii="Times New Roman" w:hAnsi="Times New Roman" w:eastAsia="宋体"/>
      <w:snapToGrid w:val="0"/>
      <w:sz w:val="28"/>
      <w:szCs w:val="28"/>
    </w:rPr>
  </w:style>
  <w:style w:type="paragraph" w:customStyle="1" w:styleId="69">
    <w:name w:val="zb正文首缩2"/>
    <w:basedOn w:val="1"/>
    <w:link w:val="99"/>
    <w:qFormat/>
    <w:uiPriority w:val="0"/>
    <w:pPr>
      <w:spacing w:line="360" w:lineRule="auto"/>
      <w:ind w:firstLine="200" w:firstLineChars="200"/>
    </w:pPr>
    <w:rPr>
      <w:rFonts w:ascii="Times New Roman" w:hAnsi="Times New Roman" w:eastAsia="宋体"/>
      <w:snapToGrid w:val="0"/>
      <w:sz w:val="28"/>
      <w:szCs w:val="28"/>
    </w:rPr>
  </w:style>
  <w:style w:type="paragraph" w:customStyle="1" w:styleId="70">
    <w:name w:val="zb正文文本1"/>
    <w:basedOn w:val="1"/>
    <w:link w:val="100"/>
    <w:qFormat/>
    <w:uiPriority w:val="0"/>
    <w:pPr>
      <w:spacing w:line="360" w:lineRule="auto"/>
      <w:ind w:firstLine="200" w:firstLineChars="200"/>
    </w:pPr>
    <w:rPr>
      <w:rFonts w:ascii="Times New Roman" w:hAnsi="Times New Roman" w:eastAsia="宋体"/>
      <w:sz w:val="28"/>
      <w:szCs w:val="28"/>
    </w:rPr>
  </w:style>
  <w:style w:type="paragraph" w:customStyle="1" w:styleId="71">
    <w:name w:val="zb正文居中"/>
    <w:basedOn w:val="1"/>
    <w:link w:val="102"/>
    <w:qFormat/>
    <w:uiPriority w:val="0"/>
    <w:pPr>
      <w:spacing w:line="360" w:lineRule="auto"/>
      <w:jc w:val="center"/>
    </w:pPr>
    <w:rPr>
      <w:rFonts w:ascii="Times New Roman" w:hAnsi="Times New Roman" w:eastAsia="宋体" w:cs="Arial"/>
      <w:b/>
      <w:sz w:val="28"/>
      <w:szCs w:val="28"/>
    </w:rPr>
  </w:style>
  <w:style w:type="paragraph" w:customStyle="1" w:styleId="72">
    <w:name w:val="tb封面正文"/>
    <w:basedOn w:val="1"/>
    <w:link w:val="103"/>
    <w:qFormat/>
    <w:uiPriority w:val="0"/>
    <w:pPr>
      <w:spacing w:line="240" w:lineRule="auto"/>
      <w:jc w:val="center"/>
    </w:pPr>
    <w:rPr>
      <w:rFonts w:ascii="Times New Roman" w:hAnsi="Times New Roman" w:eastAsia="宋体"/>
      <w:sz w:val="30"/>
    </w:rPr>
  </w:style>
  <w:style w:type="paragraph" w:customStyle="1" w:styleId="73">
    <w:name w:val="tb封面标题"/>
    <w:basedOn w:val="41"/>
    <w:link w:val="105"/>
    <w:qFormat/>
    <w:uiPriority w:val="0"/>
    <w:pPr>
      <w:jc w:val="center"/>
    </w:pPr>
    <w:rPr>
      <w:rFonts w:hAnsi="宋体" w:cs="Times New Roman"/>
      <w:b/>
      <w:snapToGrid w:val="0"/>
      <w:color w:val="auto"/>
      <w:sz w:val="44"/>
      <w:szCs w:val="50"/>
    </w:rPr>
  </w:style>
  <w:style w:type="paragraph" w:customStyle="1" w:styleId="74">
    <w:name w:val="tb封面落款"/>
    <w:basedOn w:val="13"/>
    <w:link w:val="106"/>
    <w:qFormat/>
    <w:uiPriority w:val="0"/>
    <w:pPr>
      <w:spacing w:beforeLines="50" w:afterLines="50" w:line="240" w:lineRule="auto"/>
      <w:ind w:firstLine="2419" w:firstLineChars="864"/>
      <w:jc w:val="both"/>
    </w:pPr>
    <w:rPr>
      <w:rFonts w:ascii="宋体" w:hAnsi="宋体" w:eastAsia="宋体"/>
      <w:szCs w:val="28"/>
    </w:rPr>
  </w:style>
  <w:style w:type="paragraph" w:customStyle="1" w:styleId="75">
    <w:name w:val="tb报价函正文"/>
    <w:basedOn w:val="1"/>
    <w:next w:val="76"/>
    <w:link w:val="107"/>
    <w:qFormat/>
    <w:uiPriority w:val="0"/>
    <w:pPr>
      <w:widowControl w:val="0"/>
      <w:spacing w:before="0" w:after="0" w:line="400" w:lineRule="exact"/>
      <w:ind w:firstLine="560" w:firstLineChars="200"/>
    </w:pPr>
    <w:rPr>
      <w:rFonts w:ascii="Times New Roman" w:hAnsi="Times New Roman" w:eastAsia="宋体"/>
      <w:sz w:val="28"/>
      <w:szCs w:val="28"/>
    </w:rPr>
  </w:style>
  <w:style w:type="paragraph" w:customStyle="1" w:styleId="76">
    <w:name w:val="tb正文缩进2"/>
    <w:basedOn w:val="75"/>
    <w:link w:val="111"/>
    <w:qFormat/>
    <w:uiPriority w:val="0"/>
    <w:pPr>
      <w:spacing w:line="360" w:lineRule="auto"/>
      <w:ind w:firstLine="200"/>
    </w:pPr>
  </w:style>
  <w:style w:type="paragraph" w:customStyle="1" w:styleId="77">
    <w:name w:val="tb小标题居中"/>
    <w:basedOn w:val="1"/>
    <w:next w:val="76"/>
    <w:link w:val="108"/>
    <w:qFormat/>
    <w:uiPriority w:val="0"/>
    <w:pPr>
      <w:snapToGrid w:val="0"/>
      <w:spacing w:before="0" w:after="0" w:line="360" w:lineRule="auto"/>
      <w:jc w:val="center"/>
    </w:pPr>
    <w:rPr>
      <w:rFonts w:ascii="黑体" w:hAnsi="黑体" w:eastAsia="黑体"/>
      <w:sz w:val="28"/>
      <w:szCs w:val="32"/>
    </w:rPr>
  </w:style>
  <w:style w:type="paragraph" w:customStyle="1" w:styleId="78">
    <w:name w:val="样式 标题 4 + 黑体 行距: 单倍行距"/>
    <w:basedOn w:val="5"/>
    <w:uiPriority w:val="0"/>
    <w:pPr>
      <w:spacing w:line="360" w:lineRule="auto"/>
    </w:pPr>
    <w:rPr>
      <w:rFonts w:ascii="黑体" w:hAnsi="黑体" w:cs="宋体"/>
      <w:szCs w:val="20"/>
    </w:rPr>
  </w:style>
  <w:style w:type="paragraph" w:customStyle="1" w:styleId="79">
    <w:name w:val="tb标题一"/>
    <w:basedOn w:val="5"/>
    <w:next w:val="76"/>
    <w:link w:val="109"/>
    <w:qFormat/>
    <w:uiPriority w:val="0"/>
    <w:pPr>
      <w:snapToGrid w:val="0"/>
      <w:spacing w:line="360" w:lineRule="auto"/>
    </w:pPr>
    <w:rPr>
      <w:b w:val="0"/>
      <w:sz w:val="30"/>
    </w:rPr>
  </w:style>
  <w:style w:type="paragraph" w:customStyle="1" w:styleId="80">
    <w:name w:val="zb正文表格2"/>
    <w:basedOn w:val="36"/>
    <w:link w:val="110"/>
    <w:qFormat/>
    <w:uiPriority w:val="0"/>
    <w:pPr>
      <w:spacing w:line="300" w:lineRule="auto"/>
      <w:jc w:val="center"/>
    </w:pPr>
  </w:style>
  <w:style w:type="paragraph" w:customStyle="1" w:styleId="81">
    <w:name w:val="修订1"/>
    <w:hidden/>
    <w:unhideWhenUsed/>
    <w:uiPriority w:val="99"/>
    <w:rPr>
      <w:rFonts w:ascii="Calibri" w:hAnsi="Calibri" w:eastAsia="等线" w:cs="Times New Roman"/>
      <w:kern w:val="2"/>
      <w:sz w:val="21"/>
      <w:lang w:val="en-US" w:eastAsia="zh-CN" w:bidi="ar-SA"/>
    </w:rPr>
  </w:style>
  <w:style w:type="paragraph" w:customStyle="1" w:styleId="82">
    <w:name w:val="tb正文顶格"/>
    <w:basedOn w:val="76"/>
    <w:link w:val="112"/>
    <w:qFormat/>
    <w:uiPriority w:val="0"/>
    <w:pPr>
      <w:ind w:firstLine="0" w:firstLineChars="0"/>
    </w:pPr>
  </w:style>
  <w:style w:type="paragraph" w:customStyle="1" w:styleId="83">
    <w:name w:val="tb表格格式1"/>
    <w:basedOn w:val="1"/>
    <w:link w:val="113"/>
    <w:qFormat/>
    <w:uiPriority w:val="0"/>
    <w:pPr>
      <w:spacing w:line="240" w:lineRule="auto"/>
      <w:jc w:val="right"/>
    </w:pPr>
    <w:rPr>
      <w:rFonts w:ascii="Times New Roman" w:hAnsi="Times New Roman" w:eastAsia="宋体"/>
      <w:sz w:val="24"/>
      <w:szCs w:val="24"/>
    </w:rPr>
  </w:style>
  <w:style w:type="character" w:customStyle="1" w:styleId="84">
    <w:name w:val="内容 Char"/>
    <w:link w:val="61"/>
    <w:uiPriority w:val="0"/>
    <w:rPr>
      <w:rFonts w:eastAsia="宋体" w:cs="宋体"/>
      <w:kern w:val="2"/>
      <w:sz w:val="24"/>
      <w:szCs w:val="28"/>
      <w:lang w:val="en-US" w:eastAsia="zh-CN" w:bidi="ar-SA"/>
    </w:rPr>
  </w:style>
  <w:style w:type="character" w:customStyle="1" w:styleId="85">
    <w:name w:val="正文文本首行缩进 字符"/>
    <w:link w:val="12"/>
    <w:uiPriority w:val="0"/>
    <w:rPr>
      <w:rFonts w:eastAsia="仿宋_GB2312"/>
      <w:kern w:val="2"/>
      <w:sz w:val="21"/>
      <w:szCs w:val="24"/>
    </w:rPr>
  </w:style>
  <w:style w:type="character" w:customStyle="1" w:styleId="86">
    <w:name w:val="正文文本 字符"/>
    <w:link w:val="13"/>
    <w:uiPriority w:val="0"/>
    <w:rPr>
      <w:rFonts w:eastAsia="仿宋_GB2312"/>
      <w:sz w:val="28"/>
    </w:rPr>
  </w:style>
  <w:style w:type="character" w:customStyle="1" w:styleId="87">
    <w:name w:val="图表名称 Char1"/>
    <w:link w:val="49"/>
    <w:uiPriority w:val="0"/>
    <w:rPr>
      <w:rFonts w:cs="宋体"/>
      <w:kern w:val="2"/>
      <w:sz w:val="24"/>
      <w:lang w:val="en-US" w:eastAsia="zh-CN" w:bidi="ar-SA"/>
    </w:rPr>
  </w:style>
  <w:style w:type="character" w:customStyle="1" w:styleId="88">
    <w:name w:val="样式 超链接 + (西文) 黑体 (中文) 黑体 自动设置 无下划线 Char"/>
    <w:link w:val="46"/>
    <w:uiPriority w:val="0"/>
    <w:rPr>
      <w:rFonts w:ascii="黑体" w:eastAsia="黑体"/>
      <w:kern w:val="2"/>
      <w:sz w:val="28"/>
      <w:szCs w:val="24"/>
      <w:lang w:val="en-US" w:eastAsia="zh-CN" w:bidi="ar-SA"/>
    </w:rPr>
  </w:style>
  <w:style w:type="character" w:customStyle="1" w:styleId="89">
    <w:name w:val="样式 样式 正文（首行缩进两字） + 首行缩进:  2 字符 + Char"/>
    <w:link w:val="56"/>
    <w:uiPriority w:val="0"/>
    <w:rPr>
      <w:rFonts w:cs="宋体"/>
      <w:sz w:val="24"/>
    </w:rPr>
  </w:style>
  <w:style w:type="character" w:customStyle="1" w:styleId="90">
    <w:name w:val="正文缩进 字符"/>
    <w:link w:val="14"/>
    <w:uiPriority w:val="0"/>
    <w:rPr>
      <w:kern w:val="2"/>
      <w:sz w:val="21"/>
    </w:rPr>
  </w:style>
  <w:style w:type="character" w:customStyle="1" w:styleId="91">
    <w:name w:val="标题 4 字符"/>
    <w:link w:val="5"/>
    <w:uiPriority w:val="0"/>
    <w:rPr>
      <w:rFonts w:ascii="Arial" w:hAnsi="Arial" w:eastAsia="黑体"/>
      <w:b/>
      <w:bCs/>
      <w:kern w:val="2"/>
      <w:sz w:val="28"/>
      <w:szCs w:val="28"/>
    </w:rPr>
  </w:style>
  <w:style w:type="character" w:customStyle="1" w:styleId="92">
    <w:name w:val="正文2 Char"/>
    <w:link w:val="53"/>
    <w:uiPriority w:val="0"/>
    <w:rPr>
      <w:rFonts w:cs="宋体"/>
      <w:sz w:val="24"/>
    </w:rPr>
  </w:style>
  <w:style w:type="character" w:customStyle="1" w:styleId="93">
    <w:name w:val="zb封面标题 字符"/>
    <w:link w:val="37"/>
    <w:uiPriority w:val="0"/>
    <w:rPr>
      <w:rFonts w:ascii="宋体" w:hAnsi="宋体" w:eastAsia="宋体" w:cs="宋体"/>
      <w:kern w:val="2"/>
      <w:sz w:val="52"/>
      <w:szCs w:val="52"/>
    </w:rPr>
  </w:style>
  <w:style w:type="character" w:customStyle="1" w:styleId="94">
    <w:name w:val="zb封面编号 字符"/>
    <w:link w:val="38"/>
    <w:uiPriority w:val="0"/>
    <w:rPr>
      <w:rFonts w:ascii="宋体" w:hAnsi="宋体" w:eastAsia="宋体"/>
      <w:sz w:val="30"/>
      <w:szCs w:val="30"/>
    </w:rPr>
  </w:style>
  <w:style w:type="character" w:customStyle="1" w:styleId="95">
    <w:name w:val="纯文本 字符"/>
    <w:link w:val="19"/>
    <w:uiPriority w:val="0"/>
    <w:rPr>
      <w:rFonts w:ascii="宋体" w:hAnsi="Courier New"/>
      <w:kern w:val="2"/>
      <w:sz w:val="21"/>
    </w:rPr>
  </w:style>
  <w:style w:type="character" w:customStyle="1" w:styleId="96">
    <w:name w:val="zb封面标志 字符"/>
    <w:link w:val="66"/>
    <w:uiPriority w:val="0"/>
    <w:rPr>
      <w:rFonts w:ascii="宋体" w:hAnsi="宋体" w:eastAsia="宋体" w:cs="宋体"/>
      <w:color w:val="000000"/>
      <w:kern w:val="2"/>
      <w:sz w:val="72"/>
      <w:szCs w:val="72"/>
    </w:rPr>
  </w:style>
  <w:style w:type="character" w:customStyle="1" w:styleId="97">
    <w:name w:val="zb封面落款 字符"/>
    <w:link w:val="67"/>
    <w:uiPriority w:val="0"/>
    <w:rPr>
      <w:rFonts w:ascii="宋体" w:hAnsi="宋体" w:eastAsia="宋体" w:cs="宋体"/>
      <w:bCs/>
      <w:color w:val="000000"/>
      <w:kern w:val="2"/>
      <w:sz w:val="36"/>
      <w:szCs w:val="36"/>
    </w:rPr>
  </w:style>
  <w:style w:type="character" w:customStyle="1" w:styleId="98">
    <w:name w:val="zb正文顶格 字符"/>
    <w:link w:val="68"/>
    <w:uiPriority w:val="0"/>
    <w:rPr>
      <w:rFonts w:ascii="Times New Roman" w:hAnsi="Times New Roman" w:eastAsia="宋体"/>
      <w:snapToGrid w:val="0"/>
      <w:kern w:val="2"/>
      <w:sz w:val="28"/>
      <w:szCs w:val="28"/>
    </w:rPr>
  </w:style>
  <w:style w:type="character" w:customStyle="1" w:styleId="99">
    <w:name w:val="zb正文首缩2 字符"/>
    <w:link w:val="69"/>
    <w:uiPriority w:val="0"/>
    <w:rPr>
      <w:rFonts w:ascii="Times New Roman" w:hAnsi="Times New Roman" w:eastAsia="宋体"/>
      <w:snapToGrid w:val="0"/>
      <w:kern w:val="2"/>
      <w:sz w:val="28"/>
      <w:szCs w:val="28"/>
    </w:rPr>
  </w:style>
  <w:style w:type="character" w:customStyle="1" w:styleId="100">
    <w:name w:val="zb正文文本1 字符"/>
    <w:link w:val="70"/>
    <w:uiPriority w:val="0"/>
    <w:rPr>
      <w:rFonts w:ascii="Times New Roman" w:hAnsi="Times New Roman" w:eastAsia="宋体"/>
      <w:kern w:val="2"/>
      <w:sz w:val="28"/>
      <w:szCs w:val="28"/>
    </w:rPr>
  </w:style>
  <w:style w:type="character" w:customStyle="1" w:styleId="101">
    <w:name w:val="zb正文表格1 字符"/>
    <w:link w:val="36"/>
    <w:uiPriority w:val="0"/>
    <w:rPr>
      <w:rFonts w:ascii="Times New Roman" w:hAnsi="Times New Roman" w:eastAsia="宋体" w:cs="宋体"/>
      <w:kern w:val="2"/>
      <w:sz w:val="28"/>
      <w:szCs w:val="28"/>
    </w:rPr>
  </w:style>
  <w:style w:type="character" w:customStyle="1" w:styleId="102">
    <w:name w:val="zb正文居中 字符"/>
    <w:link w:val="71"/>
    <w:uiPriority w:val="0"/>
    <w:rPr>
      <w:rFonts w:ascii="Times New Roman" w:hAnsi="Times New Roman" w:eastAsia="宋体" w:cs="Arial"/>
      <w:b/>
      <w:kern w:val="2"/>
      <w:sz w:val="28"/>
      <w:szCs w:val="28"/>
    </w:rPr>
  </w:style>
  <w:style w:type="character" w:customStyle="1" w:styleId="103">
    <w:name w:val="tb封面正文 字符"/>
    <w:link w:val="72"/>
    <w:uiPriority w:val="0"/>
    <w:rPr>
      <w:rFonts w:ascii="Times New Roman" w:hAnsi="Times New Roman" w:eastAsia="宋体" w:cs="Arial"/>
      <w:kern w:val="2"/>
      <w:sz w:val="30"/>
      <w:szCs w:val="28"/>
    </w:rPr>
  </w:style>
  <w:style w:type="character" w:customStyle="1" w:styleId="104">
    <w:name w:val="Default 字符"/>
    <w:link w:val="41"/>
    <w:uiPriority w:val="0"/>
    <w:rPr>
      <w:rFonts w:ascii="宋体" w:eastAsia="宋体" w:cs="宋体"/>
      <w:color w:val="000000"/>
      <w:sz w:val="24"/>
      <w:szCs w:val="24"/>
    </w:rPr>
  </w:style>
  <w:style w:type="character" w:customStyle="1" w:styleId="105">
    <w:name w:val="tb封面标题 字符"/>
    <w:link w:val="73"/>
    <w:uiPriority w:val="0"/>
    <w:rPr>
      <w:rFonts w:ascii="宋体" w:hAnsi="宋体" w:eastAsia="宋体" w:cs="宋体"/>
      <w:b/>
      <w:snapToGrid w:val="0"/>
      <w:color w:val="000000"/>
      <w:sz w:val="44"/>
      <w:szCs w:val="50"/>
    </w:rPr>
  </w:style>
  <w:style w:type="character" w:customStyle="1" w:styleId="106">
    <w:name w:val="tb封面落款 字符"/>
    <w:link w:val="74"/>
    <w:uiPriority w:val="0"/>
    <w:rPr>
      <w:rFonts w:ascii="宋体" w:hAnsi="宋体" w:eastAsia="宋体"/>
      <w:sz w:val="28"/>
      <w:szCs w:val="28"/>
    </w:rPr>
  </w:style>
  <w:style w:type="character" w:customStyle="1" w:styleId="107">
    <w:name w:val="tb报价函正文 字符"/>
    <w:link w:val="75"/>
    <w:uiPriority w:val="0"/>
    <w:rPr>
      <w:rFonts w:ascii="Times New Roman" w:hAnsi="Times New Roman" w:eastAsia="宋体"/>
      <w:kern w:val="2"/>
      <w:sz w:val="28"/>
      <w:szCs w:val="28"/>
    </w:rPr>
  </w:style>
  <w:style w:type="character" w:customStyle="1" w:styleId="108">
    <w:name w:val="tb小标题居中 字符"/>
    <w:link w:val="77"/>
    <w:uiPriority w:val="0"/>
    <w:rPr>
      <w:rFonts w:ascii="黑体" w:hAnsi="黑体" w:eastAsia="黑体"/>
      <w:kern w:val="2"/>
      <w:sz w:val="28"/>
      <w:szCs w:val="32"/>
    </w:rPr>
  </w:style>
  <w:style w:type="character" w:customStyle="1" w:styleId="109">
    <w:name w:val="tb标题一 字符"/>
    <w:link w:val="79"/>
    <w:uiPriority w:val="0"/>
    <w:rPr>
      <w:rFonts w:ascii="Arial" w:hAnsi="Arial" w:eastAsia="黑体"/>
      <w:bCs/>
      <w:kern w:val="2"/>
      <w:sz w:val="30"/>
      <w:szCs w:val="28"/>
    </w:rPr>
  </w:style>
  <w:style w:type="character" w:customStyle="1" w:styleId="110">
    <w:name w:val="zb正文表格2 字符"/>
    <w:link w:val="80"/>
    <w:uiPriority w:val="0"/>
    <w:rPr>
      <w:rFonts w:ascii="Times New Roman" w:hAnsi="Times New Roman" w:eastAsia="宋体" w:cs="宋体"/>
      <w:kern w:val="2"/>
      <w:sz w:val="28"/>
      <w:szCs w:val="28"/>
    </w:rPr>
  </w:style>
  <w:style w:type="character" w:customStyle="1" w:styleId="111">
    <w:name w:val="tb正文缩进2 字符"/>
    <w:link w:val="76"/>
    <w:uiPriority w:val="0"/>
    <w:rPr>
      <w:rFonts w:ascii="Times New Roman" w:hAnsi="Times New Roman" w:eastAsia="宋体"/>
      <w:kern w:val="2"/>
      <w:sz w:val="28"/>
      <w:szCs w:val="28"/>
    </w:rPr>
  </w:style>
  <w:style w:type="character" w:customStyle="1" w:styleId="112">
    <w:name w:val="tb正文顶格 字符"/>
    <w:link w:val="82"/>
    <w:uiPriority w:val="0"/>
    <w:rPr>
      <w:rFonts w:ascii="Times New Roman" w:hAnsi="Times New Roman" w:eastAsia="宋体"/>
      <w:kern w:val="2"/>
      <w:sz w:val="28"/>
      <w:szCs w:val="28"/>
    </w:rPr>
  </w:style>
  <w:style w:type="character" w:customStyle="1" w:styleId="113">
    <w:name w:val="tb表格格式1 字符"/>
    <w:link w:val="83"/>
    <w:uiPriority w:val="0"/>
    <w:rPr>
      <w:rFonts w:ascii="Times New Roman" w:hAnsi="Times New Roman" w:eastAsia="宋体"/>
      <w:kern w:val="2"/>
      <w:sz w:val="24"/>
      <w:szCs w:val="24"/>
    </w:rPr>
  </w:style>
  <w:style w:type="table" w:customStyle="1" w:styleId="114">
    <w:name w:val="网格型浅色1"/>
    <w:basedOn w:val="34"/>
    <w:uiPriority w:val="40"/>
    <w:pPr/>
    <w:tblPr>
      <w:tblStyle w:val="34"/>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Pages>
  <Words>2740</Words>
  <Characters>15619</Characters>
  <Lines>130</Lines>
  <Paragraphs>36</Paragraphs>
  <ScaleCrop>false</ScaleCrop>
  <LinksUpToDate>false</LinksUpToDate>
  <CharactersWithSpaces>0</CharactersWithSpaces>
  <Application>WPS Office 专业版_9.1.0.4833_{F1E327BC-269C-435d-A152-05C5408002CA}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2020-07-16T02:38:00Z</dcterms:created>
  <dc:creator>sdh</dc:creator>
  <cp:lastModifiedBy>hekaichao</cp:lastModifiedBy>
  <cp:lastPrinted>2020-03-30T08:50:00Z</cp:lastPrinted>
  <dcterms:modified xsi:type="dcterms:W3CDTF">2020-08-25T07:05:31Z</dcterms:modified>
  <dc:title>设计招标文件</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2052-9.1.0.4833</vt:lpwstr>
  </property>
</Properties>
</file>